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C9EDB"/>
    <w:p w14:paraId="5FC81038">
      <w:pPr>
        <w:jc w:val="center"/>
        <w:rPr>
          <w:rFonts w:hint="eastAsia" w:ascii="微软雅黑" w:hAnsi="微软雅黑" w:eastAsia="微软雅黑" w:cs="微软雅黑"/>
          <w:b/>
          <w:bCs/>
          <w:sz w:val="36"/>
          <w:szCs w:val="36"/>
          <w:lang w:val="en-US" w:eastAsia="zh-CN"/>
        </w:rPr>
      </w:pPr>
      <w:bookmarkStart w:id="0" w:name="_GoBack"/>
      <w:r>
        <w:rPr>
          <w:rFonts w:hint="eastAsia" w:ascii="微软雅黑" w:hAnsi="微软雅黑" w:eastAsia="微软雅黑" w:cs="微软雅黑"/>
          <w:b/>
          <w:bCs/>
          <w:sz w:val="36"/>
          <w:szCs w:val="36"/>
          <w:lang w:val="en-US" w:eastAsia="zh-CN"/>
        </w:rPr>
        <w:t>小鼠结肠癌带绿色荧光 ; MC-38/GFP</w:t>
      </w:r>
      <w:bookmarkEnd w:id="0"/>
      <w:r>
        <w:rPr>
          <w:rFonts w:hint="eastAsia" w:ascii="微软雅黑" w:hAnsi="微软雅黑" w:eastAsia="微软雅黑" w:cs="微软雅黑"/>
          <w:b/>
          <w:bCs/>
          <w:sz w:val="36"/>
          <w:szCs w:val="36"/>
          <w:lang w:val="en-US" w:eastAsia="zh-CN"/>
        </w:rPr>
        <w:br w:type="textWrapping"/>
      </w:r>
    </w:p>
    <w:p w14:paraId="177CD1B1">
      <w:pPr>
        <w:jc w:val="both"/>
        <w:rPr>
          <w:rFonts w:hint="eastAsia" w:ascii="微软雅黑" w:hAnsi="微软雅黑" w:eastAsia="微软雅黑" w:cs="微软雅黑"/>
          <w:b/>
          <w:bCs/>
          <w:sz w:val="28"/>
          <w:szCs w:val="28"/>
          <w:lang w:eastAsia="zh-CN"/>
        </w:rPr>
      </w:pP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基本信息</w:t>
      </w:r>
    </w:p>
    <w:tbl>
      <w:tblPr>
        <w:tblStyle w:val="5"/>
        <w:tblpPr w:leftFromText="180" w:rightFromText="180" w:vertAnchor="page" w:horzAnchor="page" w:tblpX="1935" w:tblpY="3756"/>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6"/>
        <w:gridCol w:w="8343"/>
      </w:tblGrid>
      <w:tr w14:paraId="31DD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1436" w:type="dxa"/>
            <w:vAlign w:val="center"/>
          </w:tcPr>
          <w:p w14:paraId="306807B6">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细胞名称</w:t>
            </w:r>
          </w:p>
        </w:tc>
        <w:tc>
          <w:tcPr>
            <w:tcW w:w="8343" w:type="dxa"/>
            <w:vAlign w:val="center"/>
          </w:tcPr>
          <w:p w14:paraId="0751D7CD">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bCs/>
                <w:i w:val="0"/>
                <w:iCs w:val="0"/>
                <w:color w:val="0070C0"/>
                <w:kern w:val="0"/>
                <w:sz w:val="21"/>
                <w:szCs w:val="21"/>
                <w:u w:val="none"/>
                <w:lang w:val="en-US" w:eastAsia="zh-CN" w:bidi="ar"/>
              </w:rPr>
              <w:t>小鼠结肠癌带绿色荧光 ; MC-38/GFP</w:t>
            </w:r>
          </w:p>
        </w:tc>
      </w:tr>
      <w:tr w14:paraId="509D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67BDC2C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细胞品牌</w:t>
            </w:r>
          </w:p>
        </w:tc>
        <w:tc>
          <w:tcPr>
            <w:tcW w:w="8343" w:type="dxa"/>
            <w:vAlign w:val="center"/>
          </w:tcPr>
          <w:p w14:paraId="2CEB49A3">
            <w:pPr>
              <w:keepNext w:val="0"/>
              <w:keepLines w:val="0"/>
              <w:widowControl/>
              <w:suppressLineNumbers w:val="0"/>
              <w:jc w:val="center"/>
              <w:textAlignment w:val="center"/>
              <w:rPr>
                <w:rFonts w:hint="eastAsia" w:ascii="微软雅黑" w:hAnsi="微软雅黑" w:eastAsia="微软雅黑" w:cs="微软雅黑"/>
                <w:b/>
                <w:bCs/>
                <w:i w:val="0"/>
                <w:iCs w:val="0"/>
                <w:color w:val="0000FF"/>
                <w:kern w:val="0"/>
                <w:sz w:val="21"/>
                <w:szCs w:val="21"/>
                <w:u w:val="single"/>
                <w:lang w:val="en-US" w:eastAsia="zh-CN" w:bidi="ar"/>
                <w14:textFill>
                  <w14:gradFill>
                    <w14:gsLst>
                      <w14:gs w14:pos="0">
                        <w14:srgbClr w14:val="012D86"/>
                      </w14:gs>
                      <w14:gs w14:pos="100000">
                        <w14:srgbClr w14:val="0E2557"/>
                      </w14:gs>
                    </w14:gsLst>
                    <w14:lin w14:scaled="0"/>
                  </w14:gradFill>
                </w14:textFill>
              </w:rPr>
            </w:pPr>
            <w:r>
              <w:rPr>
                <w:rFonts w:hint="eastAsia" w:ascii="微软雅黑" w:hAnsi="微软雅黑" w:eastAsia="微软雅黑" w:cs="微软雅黑"/>
                <w:b w:val="0"/>
                <w:bCs w:val="0"/>
                <w:i w:val="0"/>
                <w:iCs w:val="0"/>
                <w:color w:val="auto"/>
                <w:kern w:val="0"/>
                <w:sz w:val="21"/>
                <w:szCs w:val="21"/>
                <w:u w:val="none"/>
                <w:lang w:val="en-US" w:eastAsia="zh-CN" w:bidi="ar"/>
              </w:rPr>
              <w:t>通蔚生物</w:t>
            </w:r>
          </w:p>
        </w:tc>
      </w:tr>
      <w:tr w14:paraId="6516B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7F6AF47">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细胞规格</w:t>
            </w:r>
          </w:p>
        </w:tc>
        <w:tc>
          <w:tcPr>
            <w:tcW w:w="8343" w:type="dxa"/>
            <w:vAlign w:val="center"/>
          </w:tcPr>
          <w:p w14:paraId="47BCE43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1×10⁶cells/T25培养瓶</w:t>
            </w:r>
          </w:p>
        </w:tc>
      </w:tr>
      <w:tr w14:paraId="4CDD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FB337BF">
            <w:pPr>
              <w:tabs>
                <w:tab w:val="left" w:pos="581"/>
              </w:tabs>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细胞英文</w:t>
            </w:r>
          </w:p>
        </w:tc>
        <w:tc>
          <w:tcPr>
            <w:tcW w:w="8343" w:type="dxa"/>
            <w:vAlign w:val="center"/>
          </w:tcPr>
          <w:p w14:paraId="3C95EE17">
            <w:pPr>
              <w:keepNext w:val="0"/>
              <w:keepLines w:val="0"/>
              <w:widowControl/>
              <w:suppressLineNumbers w:val="0"/>
              <w:jc w:val="center"/>
              <w:textAlignment w:val="center"/>
              <w:rPr>
                <w:rFonts w:hint="eastAsia" w:ascii="微软雅黑" w:hAnsi="微软雅黑" w:eastAsia="微软雅黑" w:cs="微软雅黑"/>
                <w:b w:val="0"/>
                <w:bCs w:val="0"/>
                <w:i w:val="0"/>
                <w:iCs w:val="0"/>
                <w:color w:val="auto"/>
                <w:kern w:val="0"/>
                <w:sz w:val="21"/>
                <w:szCs w:val="21"/>
                <w:u w:val="none"/>
                <w:lang w:val="en-US" w:eastAsia="zh-CN" w:bidi="ar"/>
              </w:rPr>
            </w:pPr>
            <w:r>
              <w:rPr>
                <w:rFonts w:hint="eastAsia" w:ascii="微软雅黑" w:hAnsi="微软雅黑" w:eastAsia="微软雅黑" w:cs="微软雅黑"/>
                <w:b w:val="0"/>
                <w:bCs w:val="0"/>
                <w:i w:val="0"/>
                <w:iCs w:val="0"/>
                <w:color w:val="auto"/>
                <w:kern w:val="0"/>
                <w:sz w:val="21"/>
                <w:szCs w:val="21"/>
                <w:u w:val="none"/>
                <w:lang w:val="en-US" w:eastAsia="zh-CN" w:bidi="ar"/>
              </w:rPr>
              <w:t>MC-38/GFP</w:t>
            </w:r>
          </w:p>
        </w:tc>
      </w:tr>
      <w:tr w14:paraId="2B91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163B0F7D">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基本形态</w:t>
            </w:r>
          </w:p>
        </w:tc>
        <w:tc>
          <w:tcPr>
            <w:tcW w:w="8343" w:type="dxa"/>
            <w:vAlign w:val="center"/>
          </w:tcPr>
          <w:p w14:paraId="6093A974">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上皮细胞样</w:t>
            </w:r>
          </w:p>
        </w:tc>
      </w:tr>
      <w:tr w14:paraId="534B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1436" w:type="dxa"/>
            <w:vAlign w:val="center"/>
          </w:tcPr>
          <w:p w14:paraId="2A299A1E">
            <w:pPr>
              <w:tabs>
                <w:tab w:val="left" w:pos="453"/>
              </w:tabs>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传代方法</w:t>
            </w:r>
          </w:p>
        </w:tc>
        <w:tc>
          <w:tcPr>
            <w:tcW w:w="8343" w:type="dxa"/>
            <w:vAlign w:val="center"/>
          </w:tcPr>
          <w:p w14:paraId="0F49B70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1：2传代</w:t>
            </w:r>
          </w:p>
        </w:tc>
      </w:tr>
      <w:tr w14:paraId="57D0C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36" w:type="dxa"/>
            <w:vAlign w:val="center"/>
          </w:tcPr>
          <w:p w14:paraId="46CB5046">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培养条件</w:t>
            </w:r>
          </w:p>
        </w:tc>
        <w:tc>
          <w:tcPr>
            <w:tcW w:w="8343" w:type="dxa"/>
            <w:vAlign w:val="center"/>
          </w:tcPr>
          <w:p w14:paraId="4822F67C">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气相：空气，95%；CO2,5% ；温度：37℃</w:t>
            </w:r>
          </w:p>
        </w:tc>
      </w:tr>
      <w:tr w14:paraId="64863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2EC16B64">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val="en-US" w:eastAsia="zh-CN"/>
              </w:rPr>
              <w:t>生长特性</w:t>
            </w:r>
          </w:p>
        </w:tc>
        <w:tc>
          <w:tcPr>
            <w:tcW w:w="8343" w:type="dxa"/>
            <w:vAlign w:val="center"/>
          </w:tcPr>
          <w:p w14:paraId="6DD4D750">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半贴壁生长</w:t>
            </w:r>
          </w:p>
        </w:tc>
      </w:tr>
      <w:tr w14:paraId="5187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5BB6517D">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消化时间</w:t>
            </w:r>
          </w:p>
        </w:tc>
        <w:tc>
          <w:tcPr>
            <w:tcW w:w="8343" w:type="dxa"/>
            <w:vAlign w:val="center"/>
          </w:tcPr>
          <w:p w14:paraId="436C0193">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1-2分钟</w:t>
            </w:r>
          </w:p>
        </w:tc>
      </w:tr>
      <w:tr w14:paraId="59F0C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0452DC3">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冻存条件</w:t>
            </w:r>
          </w:p>
        </w:tc>
        <w:tc>
          <w:tcPr>
            <w:tcW w:w="8343" w:type="dxa"/>
            <w:vAlign w:val="center"/>
          </w:tcPr>
          <w:p w14:paraId="34007F78">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无血清细胞冻存液</w:t>
            </w:r>
          </w:p>
        </w:tc>
      </w:tr>
      <w:tr w14:paraId="6516A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1B36D2F9">
            <w:pPr>
              <w:jc w:val="center"/>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完全培养基</w:t>
            </w:r>
          </w:p>
        </w:tc>
        <w:tc>
          <w:tcPr>
            <w:tcW w:w="8343" w:type="dxa"/>
            <w:vAlign w:val="center"/>
          </w:tcPr>
          <w:p w14:paraId="31126827">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 xml:space="preserve">1640+10%FBS  </w:t>
            </w:r>
            <w:r>
              <w:rPr>
                <w:rFonts w:hint="eastAsia" w:ascii="微软雅黑" w:hAnsi="微软雅黑" w:eastAsia="微软雅黑" w:cs="微软雅黑"/>
                <w:b/>
                <w:bCs/>
                <w:i w:val="0"/>
                <w:iCs w:val="0"/>
                <w:color w:val="0070C0"/>
                <w:kern w:val="2"/>
                <w:sz w:val="21"/>
                <w:szCs w:val="21"/>
                <w:u w:val="none"/>
                <w:lang w:val="en-US" w:eastAsia="zh-CN" w:bidi="ar-SA"/>
              </w:rPr>
              <w:fldChar w:fldCharType="begin"/>
            </w:r>
            <w:r>
              <w:rPr>
                <w:rFonts w:hint="eastAsia" w:ascii="微软雅黑" w:hAnsi="微软雅黑" w:eastAsia="微软雅黑" w:cs="微软雅黑"/>
                <w:b/>
                <w:bCs/>
                <w:i w:val="0"/>
                <w:iCs w:val="0"/>
                <w:color w:val="0070C0"/>
                <w:kern w:val="2"/>
                <w:sz w:val="21"/>
                <w:szCs w:val="21"/>
                <w:u w:val="none"/>
                <w:lang w:val="en-US" w:eastAsia="zh-CN" w:bidi="ar-SA"/>
              </w:rPr>
              <w:instrText xml:space="preserve"> HYPERLINK "https://www.tw-reagent.com/goods.php?id=42312" </w:instrText>
            </w:r>
            <w:r>
              <w:rPr>
                <w:rFonts w:hint="eastAsia" w:ascii="微软雅黑" w:hAnsi="微软雅黑" w:eastAsia="微软雅黑" w:cs="微软雅黑"/>
                <w:b/>
                <w:bCs/>
                <w:i w:val="0"/>
                <w:iCs w:val="0"/>
                <w:color w:val="0070C0"/>
                <w:kern w:val="2"/>
                <w:sz w:val="21"/>
                <w:szCs w:val="21"/>
                <w:u w:val="none"/>
                <w:lang w:val="en-US" w:eastAsia="zh-CN" w:bidi="ar-SA"/>
              </w:rPr>
              <w:fldChar w:fldCharType="separate"/>
            </w:r>
            <w:r>
              <w:rPr>
                <w:rStyle w:val="7"/>
                <w:rFonts w:hint="eastAsia" w:ascii="微软雅黑" w:hAnsi="微软雅黑" w:eastAsia="微软雅黑" w:cs="微软雅黑"/>
                <w:b/>
                <w:bCs/>
                <w:i w:val="0"/>
                <w:iCs w:val="0"/>
                <w:color w:val="0070C0"/>
                <w:kern w:val="2"/>
                <w:sz w:val="21"/>
                <w:szCs w:val="21"/>
                <w:lang w:val="en-US" w:eastAsia="zh-CN" w:bidi="ar-SA"/>
              </w:rPr>
              <w:t>MC-38/GFP完全培养基</w:t>
            </w:r>
            <w:r>
              <w:rPr>
                <w:rFonts w:hint="eastAsia" w:ascii="微软雅黑" w:hAnsi="微软雅黑" w:eastAsia="微软雅黑" w:cs="微软雅黑"/>
                <w:b/>
                <w:bCs/>
                <w:i w:val="0"/>
                <w:iCs w:val="0"/>
                <w:color w:val="0070C0"/>
                <w:kern w:val="2"/>
                <w:sz w:val="21"/>
                <w:szCs w:val="21"/>
                <w:u w:val="none"/>
                <w:lang w:val="en-US" w:eastAsia="zh-CN" w:bidi="ar-SA"/>
              </w:rPr>
              <w:fldChar w:fldCharType="end"/>
            </w:r>
            <w:r>
              <w:rPr>
                <w:rFonts w:hint="eastAsia" w:ascii="微软雅黑" w:hAnsi="微软雅黑" w:eastAsia="微软雅黑" w:cs="微软雅黑"/>
                <w:b/>
                <w:bCs/>
                <w:i w:val="0"/>
                <w:iCs w:val="0"/>
                <w:color w:val="0070C0"/>
                <w:kern w:val="2"/>
                <w:sz w:val="21"/>
                <w:szCs w:val="21"/>
                <w:u w:val="none"/>
                <w:lang w:val="en-US" w:eastAsia="zh-CN" w:bidi="ar-SA"/>
              </w:rPr>
              <w:t xml:space="preserve"> </w:t>
            </w:r>
            <w:r>
              <w:rPr>
                <w:rFonts w:hint="eastAsia" w:ascii="微软雅黑" w:hAnsi="微软雅黑" w:eastAsia="微软雅黑" w:cs="微软雅黑"/>
                <w:b/>
                <w:bCs/>
                <w:i w:val="0"/>
                <w:iCs w:val="0"/>
                <w:color w:val="000000"/>
                <w:kern w:val="2"/>
                <w:sz w:val="21"/>
                <w:szCs w:val="21"/>
                <w:u w:val="none"/>
                <w:lang w:val="en-US" w:eastAsia="zh-CN" w:bidi="ar-SA"/>
              </w:rPr>
              <w:t xml:space="preserve"> </w:t>
            </w:r>
            <w:r>
              <w:rPr>
                <w:rFonts w:hint="eastAsia" w:ascii="微软雅黑" w:hAnsi="微软雅黑" w:eastAsia="微软雅黑" w:cs="微软雅黑"/>
                <w:b w:val="0"/>
                <w:bCs w:val="0"/>
                <w:i w:val="0"/>
                <w:iCs w:val="0"/>
                <w:color w:val="000000"/>
                <w:kern w:val="2"/>
                <w:sz w:val="21"/>
                <w:szCs w:val="21"/>
                <w:u w:val="none"/>
                <w:lang w:val="en-US" w:eastAsia="zh-CN" w:bidi="ar-SA"/>
              </w:rPr>
              <w:t xml:space="preserve"> </w:t>
            </w:r>
            <w:r>
              <w:rPr>
                <w:rFonts w:hint="eastAsia" w:ascii="微软雅黑" w:hAnsi="微软雅黑" w:eastAsia="微软雅黑" w:cs="微软雅黑"/>
                <w:b/>
                <w:bCs/>
                <w:i w:val="0"/>
                <w:iCs w:val="0"/>
                <w:color w:val="000000"/>
                <w:kern w:val="2"/>
                <w:sz w:val="21"/>
                <w:szCs w:val="21"/>
                <w:u w:val="none"/>
                <w:lang w:val="en-US" w:eastAsia="zh-CN" w:bidi="ar-SA"/>
              </w:rPr>
              <w:t xml:space="preserve">  </w:t>
            </w:r>
            <w:r>
              <w:rPr>
                <w:rFonts w:hint="eastAsia" w:ascii="微软雅黑" w:hAnsi="微软雅黑" w:eastAsia="微软雅黑" w:cs="微软雅黑"/>
                <w:b w:val="0"/>
                <w:bCs w:val="0"/>
                <w:i w:val="0"/>
                <w:iCs w:val="0"/>
                <w:color w:val="000000"/>
                <w:kern w:val="2"/>
                <w:sz w:val="21"/>
                <w:szCs w:val="21"/>
                <w:u w:val="none"/>
                <w:lang w:val="en-US" w:eastAsia="zh-CN" w:bidi="ar-SA"/>
              </w:rPr>
              <w:t xml:space="preserve"> </w:t>
            </w:r>
          </w:p>
        </w:tc>
      </w:tr>
      <w:tr w14:paraId="3910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1436" w:type="dxa"/>
            <w:vAlign w:val="center"/>
          </w:tcPr>
          <w:p w14:paraId="75970CF8">
            <w:pPr>
              <w:jc w:val="center"/>
              <w:rPr>
                <w:rFonts w:hint="eastAsia" w:ascii="微软雅黑" w:hAnsi="微软雅黑" w:eastAsia="微软雅黑" w:cs="微软雅黑"/>
                <w:b w:val="0"/>
                <w:bCs w:val="0"/>
                <w:kern w:val="2"/>
                <w:sz w:val="21"/>
                <w:szCs w:val="21"/>
                <w:vertAlign w:val="baseline"/>
                <w:lang w:val="en-US" w:eastAsia="zh-CN" w:bidi="ar-SA"/>
              </w:rPr>
            </w:pPr>
            <w:r>
              <w:rPr>
                <w:rFonts w:hint="eastAsia" w:ascii="微软雅黑" w:hAnsi="微软雅黑" w:eastAsia="微软雅黑" w:cs="微软雅黑"/>
                <w:b w:val="0"/>
                <w:bCs w:val="0"/>
                <w:sz w:val="21"/>
                <w:szCs w:val="21"/>
                <w:vertAlign w:val="baseline"/>
                <w:lang w:eastAsia="zh-CN"/>
              </w:rPr>
              <w:t>培养环境</w:t>
            </w:r>
          </w:p>
        </w:tc>
        <w:tc>
          <w:tcPr>
            <w:tcW w:w="8343" w:type="dxa"/>
            <w:vAlign w:val="center"/>
          </w:tcPr>
          <w:p w14:paraId="62804534">
            <w:pPr>
              <w:keepNext w:val="0"/>
              <w:keepLines w:val="0"/>
              <w:widowControl/>
              <w:suppressLineNumbers w:val="0"/>
              <w:jc w:val="center"/>
              <w:textAlignment w:val="center"/>
              <w:rPr>
                <w:rFonts w:hint="eastAsia" w:ascii="微软雅黑" w:hAnsi="微软雅黑" w:eastAsia="微软雅黑" w:cs="微软雅黑"/>
                <w:b w:val="0"/>
                <w:bCs w:val="0"/>
                <w:i w:val="0"/>
                <w:iCs w:val="0"/>
                <w:color w:val="000000"/>
                <w:kern w:val="2"/>
                <w:sz w:val="21"/>
                <w:szCs w:val="21"/>
                <w:u w:val="none"/>
                <w:lang w:val="en-US" w:eastAsia="zh-CN" w:bidi="ar-SA"/>
              </w:rPr>
            </w:pPr>
            <w:r>
              <w:rPr>
                <w:rFonts w:hint="eastAsia" w:ascii="微软雅黑" w:hAnsi="微软雅黑" w:eastAsia="微软雅黑" w:cs="微软雅黑"/>
                <w:b w:val="0"/>
                <w:bCs w:val="0"/>
                <w:i w:val="0"/>
                <w:iCs w:val="0"/>
                <w:color w:val="000000"/>
                <w:kern w:val="2"/>
                <w:sz w:val="21"/>
                <w:szCs w:val="21"/>
                <w:u w:val="none"/>
                <w:lang w:val="en-US" w:eastAsia="zh-CN" w:bidi="ar-SA"/>
              </w:rPr>
              <w:t>37℃，5%CO2，95%AIR</w:t>
            </w:r>
          </w:p>
        </w:tc>
      </w:tr>
      <w:tr w14:paraId="242B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37594EA5">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供应范围</w:t>
            </w:r>
          </w:p>
        </w:tc>
        <w:tc>
          <w:tcPr>
            <w:tcW w:w="8343" w:type="dxa"/>
            <w:vAlign w:val="center"/>
          </w:tcPr>
          <w:p w14:paraId="48CDE3A9">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仅供科研使用</w:t>
            </w:r>
          </w:p>
        </w:tc>
      </w:tr>
      <w:tr w14:paraId="4CBD9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2CDB9497">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细胞特征</w:t>
            </w:r>
          </w:p>
        </w:tc>
        <w:tc>
          <w:tcPr>
            <w:tcW w:w="8343" w:type="dxa"/>
            <w:vAlign w:val="center"/>
          </w:tcPr>
          <w:p w14:paraId="32B3D7D9">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这株细胞的一个亚株生成高水平的白介1(IL-1, interleukin 1)。 检测表明肢骨发育畸形病毒(鼠痘)阴性。 在本库通过支原体检测。</w:t>
            </w:r>
          </w:p>
        </w:tc>
      </w:tr>
      <w:tr w14:paraId="68B9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436" w:type="dxa"/>
            <w:vAlign w:val="center"/>
          </w:tcPr>
          <w:p w14:paraId="2B9366AD">
            <w:pPr>
              <w:jc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注意事项</w:t>
            </w:r>
          </w:p>
        </w:tc>
        <w:tc>
          <w:tcPr>
            <w:tcW w:w="8343" w:type="dxa"/>
            <w:vAlign w:val="center"/>
          </w:tcPr>
          <w:p w14:paraId="72F6D0A6">
            <w:pPr>
              <w:keepNext w:val="0"/>
              <w:keepLines w:val="0"/>
              <w:widowControl/>
              <w:suppressLineNumbers w:val="0"/>
              <w:jc w:val="center"/>
              <w:textAlignment w:val="center"/>
              <w:rPr>
                <w:rFonts w:hint="eastAsia" w:ascii="微软雅黑" w:hAnsi="微软雅黑" w:eastAsia="微软雅黑" w:cs="微软雅黑"/>
                <w:b w:val="0"/>
                <w:bCs w:val="0"/>
                <w:sz w:val="21"/>
                <w:szCs w:val="21"/>
                <w:vertAlign w:val="baseline"/>
                <w:lang w:eastAsia="zh-CN"/>
              </w:rPr>
            </w:pPr>
            <w:r>
              <w:rPr>
                <w:rFonts w:hint="eastAsia" w:ascii="微软雅黑" w:hAnsi="微软雅黑" w:eastAsia="微软雅黑" w:cs="微软雅黑"/>
                <w:b w:val="0"/>
                <w:bCs w:val="0"/>
                <w:sz w:val="21"/>
                <w:szCs w:val="21"/>
                <w:vertAlign w:val="baseline"/>
                <w:lang w:eastAsia="zh-CN"/>
              </w:rPr>
              <w:t>每传10代时 , 用嘌呤霉素(4ug/ml)巩固一下</w:t>
            </w:r>
          </w:p>
        </w:tc>
      </w:tr>
    </w:tbl>
    <w:p w14:paraId="11AE039F">
      <w:pPr>
        <w:rPr>
          <w:rFonts w:hint="eastAsia" w:ascii="微软雅黑" w:hAnsi="微软雅黑" w:eastAsia="微软雅黑" w:cs="微软雅黑"/>
          <w:b/>
          <w:bCs/>
          <w:color w:val="2E54A1" w:themeColor="accent1" w:themeShade="BF"/>
          <w:sz w:val="24"/>
          <w:szCs w:val="24"/>
          <w:u w:val="single"/>
          <w:lang w:eastAsia="zh-CN"/>
        </w:rPr>
      </w:pPr>
      <w:r>
        <w:rPr>
          <w:rFonts w:hint="eastAsia" w:ascii="微软雅黑" w:hAnsi="微软雅黑" w:eastAsia="微软雅黑" w:cs="微软雅黑"/>
          <w:b/>
          <w:bCs/>
          <w:color w:val="2E54A1" w:themeColor="accent1" w:themeShade="BF"/>
          <w:sz w:val="24"/>
          <w:szCs w:val="24"/>
          <w:u w:val="single"/>
          <w:lang w:eastAsia="zh-CN"/>
        </w:rPr>
        <w:br w:type="textWrapping"/>
      </w:r>
    </w:p>
    <w:p w14:paraId="02DB574F">
      <w:pPr>
        <w:numPr>
          <w:ilvl w:val="0"/>
          <w:numId w:val="0"/>
        </w:numPr>
        <w:ind w:leftChars="0"/>
        <w:jc w:val="both"/>
        <w:rPr>
          <w:rFonts w:hint="eastAsia" w:ascii="微软雅黑" w:hAnsi="微软雅黑" w:eastAsia="微软雅黑" w:cs="微软雅黑"/>
          <w:b/>
          <w:bCs/>
          <w:color w:val="2E54A1" w:themeColor="accent1" w:themeShade="BF"/>
          <w:sz w:val="28"/>
          <w:szCs w:val="28"/>
          <w:u w:val="single"/>
          <w:lang w:eastAsia="zh-CN"/>
        </w:rPr>
      </w:pPr>
      <w:r>
        <w:rPr>
          <w:rFonts w:hint="eastAsia" w:ascii="微软雅黑" w:hAnsi="微软雅黑" w:eastAsia="微软雅黑" w:cs="微软雅黑"/>
          <w:b/>
          <w:bCs/>
          <w:color w:val="000000" w:themeColor="text1"/>
          <w:sz w:val="28"/>
          <w:szCs w:val="28"/>
          <w:highlight w:val="none"/>
          <w:u w:val="none"/>
          <w:shd w:val="clear" w:color="FFFFFF" w:fill="D9D9D9"/>
          <w14:textFill>
            <w14:gradFill>
              <w14:gsLst>
                <w14:gs w14:pos="0">
                  <w14:srgbClr w14:val="7B32B2"/>
                </w14:gs>
                <w14:gs w14:pos="100000">
                  <w14:srgbClr w14:val="401A5D"/>
                </w14:gs>
              </w14:gsLst>
              <w14:lin w14:scaled="0"/>
            </w14:gradFill>
          </w14:textFill>
        </w:rPr>
        <w:t>细胞</w:t>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操作</w:t>
      </w:r>
    </w:p>
    <w:tbl>
      <w:tblPr>
        <w:tblStyle w:val="5"/>
        <w:tblpPr w:leftFromText="180" w:rightFromText="180" w:vertAnchor="text" w:horzAnchor="page" w:tblpX="1785" w:tblpY="75"/>
        <w:tblOverlap w:val="never"/>
        <w:tblW w:w="97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8183"/>
      </w:tblGrid>
      <w:tr w14:paraId="4DF1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F867694">
            <w:pPr>
              <w:jc w:val="center"/>
              <w:rPr>
                <w:rFonts w:hint="default" w:ascii="微软雅黑" w:hAnsi="微软雅黑" w:eastAsia="微软雅黑" w:cs="微软雅黑"/>
                <w:b w:val="0"/>
                <w:bCs w:val="0"/>
                <w:color w:val="auto"/>
                <w:sz w:val="21"/>
                <w:szCs w:val="21"/>
                <w:u w:val="singl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到货处理</w:t>
            </w:r>
          </w:p>
        </w:tc>
        <w:tc>
          <w:tcPr>
            <w:tcW w:w="8183" w:type="dxa"/>
            <w:vAlign w:val="center"/>
          </w:tcPr>
          <w:p w14:paraId="61CC1BB3">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val="0"/>
                <w:bCs w:val="0"/>
                <w:color w:val="0070C0"/>
                <w:sz w:val="21"/>
                <w:szCs w:val="21"/>
                <w:u w:val="none"/>
                <w:vertAlign w:val="baseline"/>
                <w:lang w:val="en-US" w:eastAsia="zh-CN"/>
              </w:rPr>
              <w:t>1、</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收到细胞后，检查外包装情况和箱内是否还有干冰。如有外包装破损干冰已完全挥发等问题，请即时联系。</w:t>
            </w:r>
          </w:p>
          <w:p w14:paraId="1E9837B4">
            <w:pPr>
              <w:jc w:val="left"/>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将细胞取出转移至液氮或－80 度冰箱保存，建议尽早复苏。</w:t>
            </w:r>
          </w:p>
          <w:p w14:paraId="4D7B7126">
            <w:pPr>
              <w:jc w:val="left"/>
              <w:rPr>
                <w:rFonts w:hint="default" w:ascii="微软雅黑" w:hAnsi="微软雅黑" w:eastAsia="微软雅黑" w:cs="微软雅黑"/>
                <w:b w:val="0"/>
                <w:bCs w:val="0"/>
                <w:color w:val="auto"/>
                <w:sz w:val="21"/>
                <w:szCs w:val="21"/>
                <w:u w:val="singl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复苏第一管如有活性状态问题及时与我们联系，会有技术人员与您沟通指导后再复苏第二管。</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br w:type="textWrapping"/>
            </w:r>
            <w:r>
              <w:rPr>
                <w:rFonts w:hint="default" w:ascii="微软雅黑" w:hAnsi="微软雅黑" w:eastAsia="微软雅黑" w:cs="微软雅黑"/>
                <w:b/>
                <w:bCs/>
                <w:color w:val="0070C0"/>
                <w:sz w:val="21"/>
                <w:szCs w:val="21"/>
                <w:u w:val="none"/>
                <w:vertAlign w:val="baseline"/>
                <w:lang w:val="en-US" w:eastAsia="zh-CN"/>
              </w:rPr>
              <w:t>特别说明：</w:t>
            </w:r>
            <w:r>
              <w:rPr>
                <w:rFonts w:hint="default" w:ascii="微软雅黑" w:hAnsi="微软雅黑" w:eastAsia="微软雅黑" w:cs="微软雅黑"/>
                <w:b w:val="0"/>
                <w:bCs w:val="0"/>
                <w:color w:val="000000" w:themeColor="text1"/>
                <w:sz w:val="21"/>
                <w:szCs w:val="21"/>
                <w:u w:val="none"/>
                <w:vertAlign w:val="baseline"/>
                <w:lang w:val="en-US" w:eastAsia="zh-CN"/>
                <w14:textFill>
                  <w14:solidFill>
                    <w14:schemeClr w14:val="tx1"/>
                  </w14:solidFill>
                </w14:textFill>
              </w:rPr>
              <w:t>未与我方联系擅自复苏第二管出现问题不予售后。</w:t>
            </w:r>
          </w:p>
        </w:tc>
      </w:tr>
      <w:tr w14:paraId="282C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37D4F77E">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细胞复苏</w:t>
            </w:r>
          </w:p>
        </w:tc>
        <w:tc>
          <w:tcPr>
            <w:tcW w:w="8183" w:type="dxa"/>
            <w:vAlign w:val="center"/>
          </w:tcPr>
          <w:p w14:paraId="4C313DD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从液氮中取出细胞冻存管（注意：佩戴防爆管面具），快速将其置入 37℃水浴中解冻，直至冻存管中无结晶，然后用 75%的酒精擦拭冻存管外壁。</w:t>
            </w:r>
          </w:p>
          <w:p w14:paraId="499D15E0">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将冻存管中的细胞移至含 5ml 完全培养基的 15ml 离心管中，1000rpm 离心 5min。</w:t>
            </w:r>
          </w:p>
          <w:p w14:paraId="104C122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弃上清，沉淀用 5ml 完全培养基重悬，接种 T25 培养瓶，于 37℃,5%CO2 细胞培养箱中培养。</w:t>
            </w:r>
          </w:p>
          <w:p w14:paraId="471A0A1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第二天，换用新鲜完全培养基继续培养。</w:t>
            </w:r>
          </w:p>
        </w:tc>
      </w:tr>
      <w:tr w14:paraId="5A54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7261DE07">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细胞传代</w:t>
            </w:r>
          </w:p>
        </w:tc>
        <w:tc>
          <w:tcPr>
            <w:tcW w:w="8183" w:type="dxa"/>
            <w:vAlign w:val="center"/>
          </w:tcPr>
          <w:p w14:paraId="053C574A">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54B52E4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7AD13609">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弃上清，沉淀细胞用 1-2ml 完全培养基重悬，然后按 1:2 比例进行分瓶传代（两个 T25），补充新的完全培养基至 5-8ml/瓶，放入 37℃,5%CO2 细胞培养箱中培养。</w:t>
            </w:r>
          </w:p>
        </w:tc>
      </w:tr>
      <w:tr w14:paraId="5A18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1596" w:type="dxa"/>
            <w:vAlign w:val="center"/>
          </w:tcPr>
          <w:p w14:paraId="55D9A0AC">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细胞冻存</w:t>
            </w:r>
          </w:p>
        </w:tc>
        <w:tc>
          <w:tcPr>
            <w:tcW w:w="8183" w:type="dxa"/>
            <w:vAlign w:val="center"/>
          </w:tcPr>
          <w:p w14:paraId="46D4289C">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细胞生长至覆盖培养瓶的 80%面积时，弃 T25 培养瓶中的培养液，用 PBS 清洗细胞一次。</w:t>
            </w:r>
          </w:p>
          <w:p w14:paraId="1365842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添加 0.25%胰蛋白酶消化液约 1ml 至培养瓶中，倒置显微镜下观察，待细胞回缩变圆后加入 5ml 完全培养液终止消化，再轻轻吹打细胞使之脱落，然后将悬液转移至 15ml 离心管中，1000rpm 离心 5min。</w:t>
            </w:r>
          </w:p>
          <w:p w14:paraId="4CBE73C6">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弃上清，沉淀细胞加入 1ml/支的无血清冻存液，混匀后加入冻存管中。（如：冻一支，加入 1ml 无血清冻存液）</w:t>
            </w:r>
          </w:p>
          <w:p w14:paraId="01E86B5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将冻存细胞直接放入－80℃冰箱即可；如后期要将细胞转入液氮罐中，需在-80℃冰箱存放 24 小时以上。</w:t>
            </w:r>
          </w:p>
        </w:tc>
      </w:tr>
      <w:tr w14:paraId="3B609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779" w:type="dxa"/>
            <w:gridSpan w:val="2"/>
            <w:vAlign w:val="center"/>
          </w:tcPr>
          <w:p w14:paraId="1A29D462">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T25细胞到货处理</w:t>
            </w:r>
          </w:p>
        </w:tc>
      </w:tr>
      <w:tr w14:paraId="4CD6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82309AB">
            <w:pPr>
              <w:jc w:val="center"/>
              <w:rPr>
                <w:rFonts w:hint="default" w:ascii="微软雅黑" w:hAnsi="微软雅黑" w:eastAsia="微软雅黑" w:cs="微软雅黑"/>
                <w:b/>
                <w:bCs/>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观察</w:t>
            </w:r>
          </w:p>
        </w:tc>
        <w:tc>
          <w:tcPr>
            <w:tcW w:w="8183" w:type="dxa"/>
            <w:vAlign w:val="center"/>
          </w:tcPr>
          <w:p w14:paraId="6A414937">
            <w:pPr>
              <w:jc w:val="left"/>
              <w:rPr>
                <w:rFonts w:hint="default" w:ascii="微软雅黑" w:hAnsi="微软雅黑" w:eastAsia="微软雅黑" w:cs="微软雅黑"/>
                <w:b/>
                <w:bCs/>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收到细胞后，请及时核对培养瓶上标注的细胞名称是否与订购的细胞名称一致以及培养瓶是否有破损或漏液等异常情况。</w:t>
            </w:r>
          </w:p>
        </w:tc>
      </w:tr>
      <w:tr w14:paraId="10CF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E96E32C">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处理</w:t>
            </w:r>
          </w:p>
        </w:tc>
        <w:tc>
          <w:tcPr>
            <w:tcW w:w="8183" w:type="dxa"/>
            <w:vAlign w:val="center"/>
          </w:tcPr>
          <w:p w14:paraId="30AF69DB">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1、</w:t>
            </w:r>
            <w:r>
              <w:rPr>
                <w:rFonts w:hint="default" w:ascii="微软雅黑" w:hAnsi="微软雅黑" w:eastAsia="微软雅黑" w:cs="微软雅黑"/>
                <w:b w:val="0"/>
                <w:bCs w:val="0"/>
                <w:color w:val="auto"/>
                <w:sz w:val="21"/>
                <w:szCs w:val="21"/>
                <w:u w:val="none"/>
                <w:vertAlign w:val="baseline"/>
                <w:lang w:val="en-US" w:eastAsia="zh-CN"/>
              </w:rPr>
              <w:t>75%酒精棉球擦拭 T25 细胞培养瓶外部。</w:t>
            </w:r>
            <w:r>
              <w:rPr>
                <w:rFonts w:hint="default" w:ascii="微软雅黑" w:hAnsi="微软雅黑" w:eastAsia="微软雅黑" w:cs="微软雅黑"/>
                <w:b w:val="0"/>
                <w:bCs w:val="0"/>
                <w:color w:val="auto"/>
                <w:sz w:val="21"/>
                <w:szCs w:val="21"/>
                <w:u w:val="none"/>
                <w:vertAlign w:val="baseline"/>
                <w:lang w:val="en-US" w:eastAsia="zh-CN"/>
              </w:rPr>
              <w:br w:type="textWrapping"/>
            </w:r>
            <w:r>
              <w:rPr>
                <w:rFonts w:hint="default" w:ascii="微软雅黑" w:hAnsi="微软雅黑" w:eastAsia="微软雅黑" w:cs="微软雅黑"/>
                <w:b/>
                <w:bCs/>
                <w:color w:val="0070C0"/>
                <w:sz w:val="21"/>
                <w:szCs w:val="21"/>
                <w:u w:val="none"/>
                <w:vertAlign w:val="baseline"/>
                <w:lang w:val="en-US" w:eastAsia="zh-CN"/>
              </w:rPr>
              <w:t>2、</w:t>
            </w:r>
            <w:r>
              <w:rPr>
                <w:rFonts w:hint="default" w:ascii="微软雅黑" w:hAnsi="微软雅黑" w:eastAsia="微软雅黑" w:cs="微软雅黑"/>
                <w:b w:val="0"/>
                <w:bCs w:val="0"/>
                <w:color w:val="auto"/>
                <w:sz w:val="21"/>
                <w:szCs w:val="21"/>
                <w:u w:val="none"/>
                <w:vertAlign w:val="baseline"/>
                <w:lang w:val="en-US" w:eastAsia="zh-CN"/>
              </w:rPr>
              <w:t>显微镜观察细胞生长情况，并对细胞进行不同倍数拍照保存（40x,100x,200x 各一张）前三天照片为重要售后依据，不提供照片默认收到状态良好。</w:t>
            </w:r>
          </w:p>
          <w:p w14:paraId="526C53DD">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3、</w:t>
            </w:r>
            <w:r>
              <w:rPr>
                <w:rFonts w:hint="default" w:ascii="微软雅黑" w:hAnsi="微软雅黑" w:eastAsia="微软雅黑" w:cs="微软雅黑"/>
                <w:b w:val="0"/>
                <w:bCs w:val="0"/>
                <w:color w:val="auto"/>
                <w:sz w:val="21"/>
                <w:szCs w:val="21"/>
                <w:u w:val="none"/>
                <w:vertAlign w:val="baseline"/>
                <w:lang w:val="en-US" w:eastAsia="zh-CN"/>
              </w:rPr>
              <w:t>不要打开培养瓶盖，将细胞放入 37 度培养箱中静置 3-4 小时后再做处理，以稳定细胞状态。</w:t>
            </w:r>
          </w:p>
          <w:p w14:paraId="6F576228">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bCs/>
                <w:color w:val="0070C0"/>
                <w:sz w:val="21"/>
                <w:szCs w:val="21"/>
                <w:u w:val="none"/>
                <w:vertAlign w:val="baseline"/>
                <w:lang w:val="en-US" w:eastAsia="zh-CN"/>
              </w:rPr>
              <w:t>4、</w:t>
            </w:r>
            <w:r>
              <w:rPr>
                <w:rFonts w:hint="default" w:ascii="微软雅黑" w:hAnsi="微软雅黑" w:eastAsia="微软雅黑" w:cs="微软雅黑"/>
                <w:b w:val="0"/>
                <w:bCs w:val="0"/>
                <w:color w:val="auto"/>
                <w:sz w:val="21"/>
                <w:szCs w:val="21"/>
                <w:u w:val="none"/>
                <w:vertAlign w:val="baseline"/>
                <w:lang w:val="en-US" w:eastAsia="zh-CN"/>
              </w:rPr>
              <w:t>收到细胞后，及时查看说明书是贴壁细胞还是悬浮细胞形态，并按常规贴壁或悬浮细胞的传代方法操作。</w:t>
            </w:r>
          </w:p>
        </w:tc>
      </w:tr>
      <w:tr w14:paraId="2EB8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1AAA7B26">
            <w:pPr>
              <w:jc w:val="center"/>
              <w:rPr>
                <w:rFonts w:hint="default"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贴壁</w:t>
            </w:r>
          </w:p>
        </w:tc>
        <w:tc>
          <w:tcPr>
            <w:tcW w:w="8183" w:type="dxa"/>
            <w:vAlign w:val="center"/>
          </w:tcPr>
          <w:p w14:paraId="34211F9F">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未超过 80%汇合度时，将瓶装的完全培养液收集至离心管中，留 5ml 完全培养基，放入 37℃、5%CO2 孵箱培养；超过 80%汇合度时，根据情况传代或者冻存，具体操作见细胞培养步骤。首次传代，建议 1:2 传代两个 T25，传代时建议一瓶用原瓶里面的完全培养基，另外一瓶用自己配的完全培养基，进行对比培养。</w:t>
            </w:r>
          </w:p>
        </w:tc>
      </w:tr>
      <w:tr w14:paraId="2405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1596" w:type="dxa"/>
            <w:vAlign w:val="center"/>
          </w:tcPr>
          <w:p w14:paraId="2A1624DE">
            <w:pPr>
              <w:jc w:val="center"/>
              <w:rPr>
                <w:rFonts w:hint="eastAsia" w:ascii="微软雅黑" w:hAnsi="微软雅黑" w:eastAsia="微软雅黑" w:cs="微软雅黑"/>
                <w:b w:val="0"/>
                <w:bCs w:val="0"/>
                <w:color w:val="auto"/>
                <w:sz w:val="21"/>
                <w:szCs w:val="21"/>
                <w:u w:val="none"/>
                <w:vertAlign w:val="baseline"/>
                <w:lang w:val="en-US" w:eastAsia="zh-CN"/>
              </w:rPr>
            </w:pPr>
            <w:r>
              <w:rPr>
                <w:rFonts w:hint="eastAsia" w:ascii="微软雅黑" w:hAnsi="微软雅黑" w:eastAsia="微软雅黑" w:cs="微软雅黑"/>
                <w:b w:val="0"/>
                <w:bCs w:val="0"/>
                <w:color w:val="auto"/>
                <w:sz w:val="21"/>
                <w:szCs w:val="21"/>
                <w:u w:val="none"/>
                <w:vertAlign w:val="baseline"/>
                <w:lang w:val="en-US" w:eastAsia="zh-CN"/>
              </w:rPr>
              <w:t>细胞注意事项</w:t>
            </w:r>
          </w:p>
        </w:tc>
        <w:tc>
          <w:tcPr>
            <w:tcW w:w="8183" w:type="dxa"/>
            <w:vAlign w:val="center"/>
          </w:tcPr>
          <w:p w14:paraId="4E1FEF30">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个别细胞贴壁不牢，在运输过程中发生细胞脱落，这是正常现象。</w:t>
            </w:r>
          </w:p>
          <w:p w14:paraId="024612FA">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请将培养瓶所有培养液收集至离心管，1000rpm 离心 5min，收集上清（后期对比培养使用），沉淀加入胰酶 1-2ml，轻轻吹打，重悬，消化 1-2 分钟后，加 5ml 完全培养基终止反应。再离心，弃上清，加 1-2ml 完全培养基重悬。然后按 1:2 比例进行分瓶传代（两个 T25），补充新的完全培养基至 5-8ml/瓶，放入37℃,5%CO2 细胞培养箱中培养。</w:t>
            </w:r>
          </w:p>
          <w:p w14:paraId="0E6362B5">
            <w:pPr>
              <w:jc w:val="left"/>
              <w:rPr>
                <w:rFonts w:hint="default" w:ascii="微软雅黑" w:hAnsi="微软雅黑" w:eastAsia="微软雅黑" w:cs="微软雅黑"/>
                <w:b w:val="0"/>
                <w:bCs w:val="0"/>
                <w:color w:val="auto"/>
                <w:sz w:val="21"/>
                <w:szCs w:val="21"/>
                <w:u w:val="none"/>
                <w:vertAlign w:val="baseline"/>
                <w:lang w:val="en-US" w:eastAsia="zh-CN"/>
              </w:rPr>
            </w:pPr>
            <w:r>
              <w:rPr>
                <w:rFonts w:hint="default" w:ascii="微软雅黑" w:hAnsi="微软雅黑" w:eastAsia="微软雅黑" w:cs="微软雅黑"/>
                <w:b w:val="0"/>
                <w:bCs w:val="0"/>
                <w:color w:val="auto"/>
                <w:sz w:val="21"/>
                <w:szCs w:val="21"/>
                <w:u w:val="none"/>
                <w:vertAlign w:val="baseline"/>
                <w:lang w:val="en-US" w:eastAsia="zh-CN"/>
              </w:rPr>
              <w:t>（</w:t>
            </w:r>
            <w:r>
              <w:rPr>
                <w:rFonts w:hint="default" w:ascii="微软雅黑" w:hAnsi="微软雅黑" w:eastAsia="微软雅黑" w:cs="微软雅黑"/>
                <w:b/>
                <w:bCs/>
                <w:color w:val="0070C0"/>
                <w:sz w:val="21"/>
                <w:szCs w:val="21"/>
                <w:u w:val="none"/>
                <w:vertAlign w:val="baseline"/>
                <w:lang w:val="en-US" w:eastAsia="zh-CN"/>
              </w:rPr>
              <w:t>注意：</w:t>
            </w:r>
            <w:r>
              <w:rPr>
                <w:rFonts w:hint="default" w:ascii="微软雅黑" w:hAnsi="微软雅黑" w:eastAsia="微软雅黑" w:cs="微软雅黑"/>
                <w:b w:val="0"/>
                <w:bCs w:val="0"/>
                <w:color w:val="auto"/>
                <w:sz w:val="21"/>
                <w:szCs w:val="21"/>
                <w:u w:val="none"/>
                <w:vertAlign w:val="baseline"/>
                <w:lang w:val="en-US" w:eastAsia="zh-CN"/>
              </w:rPr>
              <w:t>如收到密封培养瓶，处理完后放入培养箱培养时要将培养瓶盖子拧松)</w:t>
            </w:r>
          </w:p>
        </w:tc>
      </w:tr>
    </w:tbl>
    <w:p w14:paraId="1A9FF1D1">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br w:type="textWrapping"/>
      </w:r>
      <w:r>
        <w:rPr>
          <w:rFonts w:hint="eastAsia" w:ascii="微软雅黑" w:hAnsi="微软雅黑" w:eastAsia="微软雅黑" w:cs="微软雅黑"/>
          <w:b/>
          <w:bCs/>
          <w:color w:val="000000" w:themeColor="text1"/>
          <w:sz w:val="28"/>
          <w:szCs w:val="28"/>
          <w:highlight w:val="none"/>
          <w:u w:val="none"/>
          <w:shd w:val="clear" w:color="FFFFFF" w:fill="D9D9D9"/>
          <w:lang w:eastAsia="zh-CN"/>
          <w14:textFill>
            <w14:gradFill>
              <w14:gsLst>
                <w14:gs w14:pos="0">
                  <w14:srgbClr w14:val="7B32B2"/>
                </w14:gs>
                <w14:gs w14:pos="100000">
                  <w14:srgbClr w14:val="401A5D"/>
                </w14:gs>
              </w14:gsLst>
              <w14:lin w14:scaled="0"/>
            </w14:gradFill>
          </w14:textFill>
        </w:rPr>
        <w:t>售后服务</w:t>
      </w:r>
    </w:p>
    <w:tbl>
      <w:tblPr>
        <w:tblStyle w:val="5"/>
        <w:tblpPr w:leftFromText="180" w:rightFromText="180" w:vertAnchor="text" w:horzAnchor="page" w:tblpX="1907" w:tblpY="222"/>
        <w:tblOverlap w:val="never"/>
        <w:tblW w:w="9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0"/>
      </w:tblGrid>
      <w:tr w14:paraId="1861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3B6DEEA">
            <w:pPr>
              <w:numPr>
                <w:ilvl w:val="0"/>
                <w:numId w:val="0"/>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细胞予重发</w:t>
            </w:r>
          </w:p>
        </w:tc>
      </w:tr>
      <w:tr w14:paraId="7EC9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0543DB4B">
            <w:pPr>
              <w:numPr>
                <w:ilvl w:val="0"/>
                <w:numId w:val="1"/>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细胞运输中遭遇的各种问题，细胞丢失瓶身破损、培养液严重漏液等，</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highlight w:val="none"/>
                <w:vertAlign w:val="baseline"/>
                <w:lang w:val="en-US" w:eastAsia="zh-CN"/>
              </w:rPr>
              <w:t>。</w:t>
            </w:r>
          </w:p>
        </w:tc>
      </w:tr>
      <w:tr w14:paraId="57BC1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9980" w:type="dxa"/>
            <w:vAlign w:val="center"/>
          </w:tcPr>
          <w:p w14:paraId="365E2D46">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收到细胞未开封，如出现污染状况，</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8A4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9980" w:type="dxa"/>
            <w:vAlign w:val="center"/>
          </w:tcPr>
          <w:p w14:paraId="27A0960C">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收到细胞3天内，发现污染问题，经核实后，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927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9980" w:type="dxa"/>
            <w:vAlign w:val="center"/>
          </w:tcPr>
          <w:p w14:paraId="521E340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常温发货细胞静置2小时后，干冰冻存发货细胞复苏2天后，绝大多数细胞未存活，经核实后，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67E70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9980" w:type="dxa"/>
            <w:vAlign w:val="center"/>
          </w:tcPr>
          <w:p w14:paraId="2C0E0164">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常温发货的细胞静置22小时且未开封或干冰冻存发货的细胞复苏2天后，出现污染经核实后，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218D4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9980" w:type="dxa"/>
            <w:vAlign w:val="center"/>
          </w:tcPr>
          <w:p w14:paraId="16ED00FB">
            <w:pPr>
              <w:numPr>
                <w:ilvl w:val="0"/>
                <w:numId w:val="1"/>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细胞活性问题在收到产品3天内提出真实实验结果，用台盼蓝染色法鉴定细胞活力，经核实后，</w:t>
            </w:r>
            <w:r>
              <w:rPr>
                <w:rFonts w:hint="eastAsia" w:ascii="微软雅黑" w:hAnsi="微软雅黑" w:eastAsia="微软雅黑" w:cs="微软雅黑"/>
                <w:b/>
                <w:bCs/>
                <w:sz w:val="21"/>
                <w:szCs w:val="21"/>
                <w:highlight w:val="none"/>
                <w:vertAlign w:val="baseline"/>
                <w:lang w:val="en-US" w:eastAsia="zh-CN"/>
              </w:rPr>
              <w:t>重发</w:t>
            </w:r>
            <w:r>
              <w:rPr>
                <w:rFonts w:hint="eastAsia" w:ascii="微软雅黑" w:hAnsi="微软雅黑" w:eastAsia="微软雅黑" w:cs="微软雅黑"/>
                <w:b w:val="0"/>
                <w:bCs w:val="0"/>
                <w:sz w:val="21"/>
                <w:szCs w:val="21"/>
                <w:vertAlign w:val="baseline"/>
                <w:lang w:val="en-US" w:eastAsia="zh-CN"/>
              </w:rPr>
              <w:t>。</w:t>
            </w:r>
          </w:p>
        </w:tc>
      </w:tr>
      <w:tr w14:paraId="5F29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980" w:type="dxa"/>
            <w:vAlign w:val="center"/>
          </w:tcPr>
          <w:p w14:paraId="234F791F">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1"/>
                <w:szCs w:val="21"/>
                <w:vertAlign w:val="baseline"/>
                <w:lang w:val="en-US" w:eastAsia="zh-CN"/>
              </w:rPr>
              <w:t>细胞不予重发</w:t>
            </w:r>
          </w:p>
        </w:tc>
      </w:tr>
      <w:tr w14:paraId="2506E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71A7CF35">
            <w:pPr>
              <w:numPr>
                <w:ilvl w:val="0"/>
                <w:numId w:val="2"/>
              </w:numPr>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客户操作造成细胞污染，</w:t>
            </w:r>
            <w:r>
              <w:rPr>
                <w:rFonts w:hint="eastAsia" w:ascii="微软雅黑" w:hAnsi="微软雅黑" w:eastAsia="微软雅黑" w:cs="微软雅黑"/>
                <w:b/>
                <w:bCs/>
                <w:color w:val="auto"/>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2CF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980" w:type="dxa"/>
            <w:vAlign w:val="center"/>
          </w:tcPr>
          <w:p w14:paraId="67C9747D">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客户严重操作失误致细胞状态不好，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F91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40C36BC8">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非我们推荐细胞培养体系致的细胞状态不好，</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70B5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B49D72C">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细胞状态不好，未提供真实清晰的培养前3天的细胞状态照片，</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2B669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0B48725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细胞培养时经其它处理导致细胞出现问题的，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58F4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3EE4190F">
            <w:pPr>
              <w:numPr>
                <w:ilvl w:val="0"/>
                <w:numId w:val="2"/>
              </w:numPr>
              <w:ind w:left="0" w:leftChars="0" w:firstLine="0" w:firstLine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val="0"/>
                <w:bCs w:val="0"/>
                <w:sz w:val="21"/>
                <w:szCs w:val="21"/>
                <w:vertAlign w:val="baseline"/>
                <w:lang w:val="en-US" w:eastAsia="zh-CN"/>
              </w:rPr>
              <w:t>收到细胞发现问题与客服人员沟通的时间证明大于3天的，</w:t>
            </w:r>
            <w:r>
              <w:rPr>
                <w:rFonts w:hint="eastAsia" w:ascii="微软雅黑" w:hAnsi="微软雅黑" w:eastAsia="微软雅黑" w:cs="微软雅黑"/>
                <w:b/>
                <w:bCs/>
                <w:sz w:val="21"/>
                <w:szCs w:val="21"/>
                <w:highlight w:val="none"/>
                <w:vertAlign w:val="baseline"/>
                <w:lang w:val="en-US" w:eastAsia="zh-CN"/>
              </w:rPr>
              <w:t>不重发</w:t>
            </w:r>
            <w:r>
              <w:rPr>
                <w:rFonts w:hint="eastAsia" w:ascii="微软雅黑" w:hAnsi="微软雅黑" w:eastAsia="微软雅黑" w:cs="微软雅黑"/>
                <w:b w:val="0"/>
                <w:bCs w:val="0"/>
                <w:sz w:val="21"/>
                <w:szCs w:val="21"/>
                <w:vertAlign w:val="baseline"/>
                <w:lang w:val="en-US" w:eastAsia="zh-CN"/>
              </w:rPr>
              <w:t>。</w:t>
            </w:r>
          </w:p>
        </w:tc>
      </w:tr>
      <w:tr w14:paraId="3B90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9980" w:type="dxa"/>
            <w:vAlign w:val="center"/>
          </w:tcPr>
          <w:p w14:paraId="5FC02C3D">
            <w:pPr>
              <w:numPr>
                <w:ilvl w:val="0"/>
                <w:numId w:val="0"/>
              </w:numPr>
              <w:ind w:leftChars="0"/>
              <w:jc w:val="left"/>
              <w:rPr>
                <w:rFonts w:hint="eastAsia" w:ascii="微软雅黑" w:hAnsi="微软雅黑" w:eastAsia="微软雅黑" w:cs="微软雅黑"/>
                <w:b w:val="0"/>
                <w:bCs w:val="0"/>
                <w:sz w:val="21"/>
                <w:szCs w:val="21"/>
                <w:vertAlign w:val="baseline"/>
                <w:lang w:val="en-US" w:eastAsia="zh-CN"/>
              </w:rPr>
            </w:pPr>
            <w:r>
              <w:rPr>
                <w:rFonts w:hint="eastAsia" w:ascii="微软雅黑" w:hAnsi="微软雅黑" w:eastAsia="微软雅黑" w:cs="微软雅黑"/>
                <w:b/>
                <w:bCs/>
                <w:color w:val="0070C0"/>
                <w:sz w:val="28"/>
                <w:szCs w:val="28"/>
                <w:vertAlign w:val="baseline"/>
                <w:lang w:val="en-US" w:eastAsia="zh-CN"/>
              </w:rPr>
              <w:t>特别说明</w:t>
            </w:r>
          </w:p>
        </w:tc>
      </w:tr>
      <w:tr w14:paraId="67F47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1" w:hRule="atLeast"/>
        </w:trPr>
        <w:tc>
          <w:tcPr>
            <w:tcW w:w="9980" w:type="dxa"/>
            <w:vAlign w:val="center"/>
          </w:tcPr>
          <w:p w14:paraId="1246378D">
            <w:pPr>
              <w:numPr>
                <w:ilvl w:val="0"/>
                <w:numId w:val="0"/>
              </w:numPr>
              <w:ind w:leftChars="0"/>
              <w:jc w:val="both"/>
              <w:rPr>
                <w:rFonts w:hint="eastAsia" w:ascii="微软雅黑" w:hAnsi="微软雅黑" w:eastAsia="微软雅黑" w:cs="微软雅黑"/>
                <w:sz w:val="21"/>
                <w:szCs w:val="21"/>
                <w:vertAlign w:val="baseline"/>
                <w:lang w:val="en-US" w:eastAsia="zh-CN"/>
              </w:rPr>
            </w:pPr>
            <w:r>
              <w:rPr>
                <w:rFonts w:hint="eastAsia" w:ascii="微软雅黑" w:hAnsi="微软雅黑" w:eastAsia="微软雅黑" w:cs="微软雅黑"/>
                <w:sz w:val="21"/>
                <w:szCs w:val="21"/>
                <w:vertAlign w:val="baseline"/>
                <w:lang w:val="en-US" w:eastAsia="zh-CN"/>
              </w:rPr>
              <w:t>上海通蔚生物客户在细胞培养过程中，有任何技术问题可以拨打免费服务电话</w:t>
            </w:r>
            <w:r>
              <w:rPr>
                <w:rFonts w:hint="eastAsia" w:ascii="微软雅黑" w:hAnsi="微软雅黑" w:eastAsia="微软雅黑" w:cs="微软雅黑"/>
                <w:b/>
                <w:bCs/>
                <w:color w:val="FF0000"/>
                <w:sz w:val="21"/>
                <w:szCs w:val="21"/>
                <w:vertAlign w:val="baseline"/>
                <w:lang w:val="en-US" w:eastAsia="zh-CN"/>
              </w:rPr>
              <w:t>021-54845833或</w:t>
            </w:r>
            <w:r>
              <w:rPr>
                <w:rFonts w:hint="eastAsia" w:ascii="微软雅黑" w:hAnsi="微软雅黑" w:eastAsia="微软雅黑" w:cs="微软雅黑"/>
                <w:b/>
                <w:bCs/>
                <w:color w:val="FF0000"/>
                <w:sz w:val="21"/>
                <w:szCs w:val="21"/>
                <w:u w:val="none"/>
                <w:vertAlign w:val="baseline"/>
                <w:lang w:val="en-US" w:eastAsia="zh-CN"/>
              </w:rPr>
              <w:t>15800441009</w:t>
            </w:r>
            <w:r>
              <w:rPr>
                <w:rFonts w:hint="eastAsia" w:ascii="微软雅黑" w:hAnsi="微软雅黑" w:eastAsia="微软雅黑" w:cs="微软雅黑"/>
                <w:sz w:val="21"/>
                <w:szCs w:val="21"/>
                <w:vertAlign w:val="baseline"/>
                <w:lang w:val="en-US" w:eastAsia="zh-CN"/>
              </w:rPr>
              <w:t>，我们随时给予实验中的免费解答。</w:t>
            </w:r>
          </w:p>
        </w:tc>
      </w:tr>
    </w:tbl>
    <w:p w14:paraId="58B01533">
      <w:pPr>
        <w:rPr>
          <w:rFonts w:hint="eastAsia" w:eastAsiaTheme="minorEastAsia"/>
          <w:lang w:eastAsia="zh-CN"/>
        </w:rPr>
      </w:pPr>
    </w:p>
    <w:p w14:paraId="0E2DCB16"/>
    <w:p w14:paraId="3A1986E3"/>
    <w:p w14:paraId="50130F34"/>
    <w:p w14:paraId="559F027D"/>
    <w:p w14:paraId="62F79977"/>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阿里巴巴普惠体 B">
    <w:altName w:val="宋体"/>
    <w:panose1 w:val="00020600040101010101"/>
    <w:charset w:val="86"/>
    <w:family w:val="auto"/>
    <w:pitch w:val="default"/>
    <w:sig w:usb0="00000000" w:usb1="00000000"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28354A">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810827291"/>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810827291"/>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2073973579"/>
                              <w:lang w:val="en-US" w:eastAsia="zh-CN"/>
                            </w:rPr>
                            <w:t xml:space="preserve"> </w:t>
                          </w:r>
                          <w:r>
                            <w:rPr>
                              <w:rFonts w:hint="eastAsia"/>
                              <w:b/>
                              <w:bCs/>
                              <w:color w:val="FFFF00"/>
                              <w:spacing w:val="248"/>
                              <w:kern w:val="0"/>
                              <w:sz w:val="18"/>
                              <w:szCs w:val="18"/>
                              <w:fitText w:val="2160" w:id="2073973579"/>
                              <w:lang w:val="en-US" w:eastAsia="zh-CN"/>
                            </w:rPr>
                            <w:t>-----</w:t>
                          </w:r>
                          <w:r>
                            <w:rPr>
                              <w:rFonts w:hint="eastAsia"/>
                              <w:b/>
                              <w:bCs/>
                              <w:color w:val="FFFF00"/>
                              <w:spacing w:val="3"/>
                              <w:kern w:val="0"/>
                              <w:sz w:val="18"/>
                              <w:szCs w:val="18"/>
                              <w:fitText w:val="2160" w:id="2073973579"/>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71F18E10">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FFFFFF" w:themeColor="background1"/>
                        <w:spacing w:val="61"/>
                        <w:kern w:val="0"/>
                        <w:sz w:val="18"/>
                        <w:szCs w:val="18"/>
                        <w:u w:val="none"/>
                        <w:fitText w:val="2700" w:id="1810827291"/>
                        <w14:textFill>
                          <w14:solidFill>
                            <w14:schemeClr w14:val="bg1"/>
                          </w14:solidFill>
                        </w14:textFill>
                      </w:rPr>
                      <w:t>www.tw-reagent.co</w:t>
                    </w:r>
                    <w:r>
                      <w:rPr>
                        <w:rStyle w:val="7"/>
                        <w:rFonts w:hint="eastAsia"/>
                        <w:b/>
                        <w:bCs/>
                        <w:color w:val="FFFFFF" w:themeColor="background1"/>
                        <w:spacing w:val="16"/>
                        <w:kern w:val="0"/>
                        <w:sz w:val="18"/>
                        <w:szCs w:val="18"/>
                        <w:u w:val="none"/>
                        <w:fitText w:val="2700" w:id="1810827291"/>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2073973579"/>
                        <w:lang w:val="en-US" w:eastAsia="zh-CN"/>
                      </w:rPr>
                      <w:t xml:space="preserve"> </w:t>
                    </w:r>
                    <w:r>
                      <w:rPr>
                        <w:rFonts w:hint="eastAsia"/>
                        <w:b/>
                        <w:bCs/>
                        <w:color w:val="FFFF00"/>
                        <w:spacing w:val="248"/>
                        <w:kern w:val="0"/>
                        <w:sz w:val="18"/>
                        <w:szCs w:val="18"/>
                        <w:fitText w:val="2160" w:id="2073973579"/>
                        <w:lang w:val="en-US" w:eastAsia="zh-CN"/>
                      </w:rPr>
                      <w:t>-----</w:t>
                    </w:r>
                    <w:r>
                      <w:rPr>
                        <w:rFonts w:hint="eastAsia"/>
                        <w:b/>
                        <w:bCs/>
                        <w:color w:val="FFFF00"/>
                        <w:spacing w:val="3"/>
                        <w:kern w:val="0"/>
                        <w:sz w:val="18"/>
                        <w:szCs w:val="18"/>
                        <w:fitText w:val="2160" w:id="2073973579"/>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49BE26">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183F0BCE">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389EBF1D">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ADCF1"/>
    <w:multiLevelType w:val="singleLevel"/>
    <w:tmpl w:val="9C9ADCF1"/>
    <w:lvl w:ilvl="0" w:tentative="0">
      <w:start w:val="1"/>
      <w:numFmt w:val="decimal"/>
      <w:suff w:val="space"/>
      <w:lvlText w:val="%1."/>
      <w:lvlJc w:val="left"/>
      <w:rPr>
        <w:rFonts w:hint="default"/>
        <w:b/>
        <w:bCs/>
      </w:rPr>
    </w:lvl>
  </w:abstractNum>
  <w:abstractNum w:abstractNumId="1">
    <w:nsid w:val="14ED3B81"/>
    <w:multiLevelType w:val="singleLevel"/>
    <w:tmpl w:val="14ED3B81"/>
    <w:lvl w:ilvl="0" w:tentative="0">
      <w:start w:val="1"/>
      <w:numFmt w:val="decimal"/>
      <w:suff w:val="space"/>
      <w:lvlText w:val="%1."/>
      <w:lvlJc w:val="left"/>
      <w:rPr>
        <w:rFonts w:hint="default"/>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zODRiNTExMTgwZWM1M2MwM2M5MTMzZjRjOTI3ZDYifQ=="/>
  </w:docVars>
  <w:rsids>
    <w:rsidRoot w:val="5D501EF0"/>
    <w:rsid w:val="5D50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2024-08-22T02:23:00Z</dcterms:created>
  <dc:creator>WPS_1668994016</dc:creator>
  <cp:lastModifiedBy>WPS_1668994016</cp:lastModifiedBy>
  <dcterms:modified xsi:type="dcterms:W3CDTF">2024-08-22T03:17:33Z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4C14F2ED2C134395862F7B59F5ECE007_11</vt:lpwstr>
  </property>
</Properties>
</file>