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C9EDB"/>
    <w:p w14:paraId="5FC81038">
      <w:pPr>
        <w:jc w:val="center"/>
        <w:rPr>
          <w:rFonts w:hint="eastAsia" w:ascii="微软雅黑" w:hAnsi="微软雅黑" w:eastAsia="微软雅黑" w:cs="微软雅黑"/>
          <w:b/>
          <w:bCs/>
          <w:sz w:val="36"/>
          <w:szCs w:val="36"/>
          <w:lang w:val="en-US" w:eastAsia="zh-CN"/>
        </w:rPr>
      </w:pPr>
      <w:bookmarkStart w:id="0" w:name="_GoBack"/>
      <w:r>
        <w:rPr>
          <w:rFonts w:hint="eastAsia" w:ascii="微软雅黑" w:hAnsi="微软雅黑" w:eastAsia="微软雅黑" w:cs="微软雅黑"/>
          <w:b/>
          <w:bCs/>
          <w:sz w:val="36"/>
          <w:szCs w:val="36"/>
          <w:lang w:val="en-US" w:eastAsia="zh-CN"/>
        </w:rPr>
        <w:t xml:space="preserve">人胆囊癌细胞 ; NOZ </w:t>
      </w:r>
      <w:bookmarkEnd w:id="0"/>
      <w:r>
        <w:rPr>
          <w:rFonts w:hint="eastAsia" w:ascii="微软雅黑" w:hAnsi="微软雅黑" w:eastAsia="微软雅黑" w:cs="微软雅黑"/>
          <w:b/>
          <w:bCs/>
          <w:sz w:val="36"/>
          <w:szCs w:val="36"/>
          <w:lang w:val="en-US" w:eastAsia="zh-CN"/>
        </w:rPr>
        <w:br w:type="textWrapping"/>
      </w:r>
    </w:p>
    <w:p w14:paraId="177CD1B1">
      <w:pPr>
        <w:jc w:val="both"/>
        <w:rPr>
          <w:rFonts w:hint="eastAsia" w:ascii="微软雅黑" w:hAnsi="微软雅黑" w:eastAsia="微软雅黑" w:cs="微软雅黑"/>
          <w:b/>
          <w:bCs/>
          <w:sz w:val="28"/>
          <w:szCs w:val="28"/>
          <w:lang w:eastAsia="zh-CN"/>
        </w:rPr>
      </w:pP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基本信息</w:t>
      </w:r>
    </w:p>
    <w:tbl>
      <w:tblPr>
        <w:tblStyle w:val="5"/>
        <w:tblpPr w:leftFromText="180" w:rightFromText="180" w:vertAnchor="page" w:horzAnchor="page" w:tblpX="1935" w:tblpY="3756"/>
        <w:tblOverlap w:val="never"/>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8343"/>
      </w:tblGrid>
      <w:tr w14:paraId="31DD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436" w:type="dxa"/>
            <w:vAlign w:val="center"/>
          </w:tcPr>
          <w:p w14:paraId="306807B6">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细胞名称</w:t>
            </w:r>
          </w:p>
        </w:tc>
        <w:tc>
          <w:tcPr>
            <w:tcW w:w="8343" w:type="dxa"/>
            <w:vAlign w:val="center"/>
          </w:tcPr>
          <w:p w14:paraId="0751D7CD">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bCs/>
                <w:i w:val="0"/>
                <w:iCs w:val="0"/>
                <w:color w:val="0070C0"/>
                <w:kern w:val="0"/>
                <w:sz w:val="21"/>
                <w:szCs w:val="21"/>
                <w:u w:val="none"/>
                <w:lang w:val="en-US" w:eastAsia="zh-CN" w:bidi="ar"/>
              </w:rPr>
              <w:t xml:space="preserve">人胆囊癌细胞 ; NOZ </w:t>
            </w:r>
          </w:p>
        </w:tc>
      </w:tr>
      <w:tr w14:paraId="509D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67BDC2CD">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细胞品牌</w:t>
            </w:r>
          </w:p>
        </w:tc>
        <w:tc>
          <w:tcPr>
            <w:tcW w:w="8343" w:type="dxa"/>
            <w:vAlign w:val="center"/>
          </w:tcPr>
          <w:p w14:paraId="2CEB49A3">
            <w:pPr>
              <w:keepNext w:val="0"/>
              <w:keepLines w:val="0"/>
              <w:widowControl/>
              <w:suppressLineNumbers w:val="0"/>
              <w:jc w:val="center"/>
              <w:textAlignment w:val="center"/>
              <w:rPr>
                <w:rFonts w:hint="eastAsia" w:ascii="微软雅黑" w:hAnsi="微软雅黑" w:eastAsia="微软雅黑" w:cs="微软雅黑"/>
                <w:b/>
                <w:bCs/>
                <w:i w:val="0"/>
                <w:iCs w:val="0"/>
                <w:color w:val="0000FF"/>
                <w:kern w:val="0"/>
                <w:sz w:val="21"/>
                <w:szCs w:val="21"/>
                <w:u w:val="single"/>
                <w:lang w:val="en-US" w:eastAsia="zh-CN" w:bidi="ar"/>
                <w14:textFill>
                  <w14:gradFill>
                    <w14:gsLst>
                      <w14:gs w14:pos="0">
                        <w14:srgbClr w14:val="012D86"/>
                      </w14:gs>
                      <w14:gs w14:pos="100000">
                        <w14:srgbClr w14:val="0E2557"/>
                      </w14:gs>
                    </w14:gsLst>
                    <w14:lin w14:scaled="0"/>
                  </w14:gradFill>
                </w14:textFill>
              </w:rPr>
            </w:pPr>
            <w:r>
              <w:rPr>
                <w:rFonts w:hint="eastAsia" w:ascii="微软雅黑" w:hAnsi="微软雅黑" w:eastAsia="微软雅黑" w:cs="微软雅黑"/>
                <w:b w:val="0"/>
                <w:bCs w:val="0"/>
                <w:i w:val="0"/>
                <w:iCs w:val="0"/>
                <w:color w:val="auto"/>
                <w:kern w:val="0"/>
                <w:sz w:val="21"/>
                <w:szCs w:val="21"/>
                <w:u w:val="none"/>
                <w:lang w:val="en-US" w:eastAsia="zh-CN" w:bidi="ar"/>
              </w:rPr>
              <w:t>通蔚生物</w:t>
            </w:r>
          </w:p>
        </w:tc>
      </w:tr>
      <w:tr w14:paraId="6516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57F6AF47">
            <w:pPr>
              <w:tabs>
                <w:tab w:val="left" w:pos="581"/>
              </w:tabs>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细胞规格</w:t>
            </w:r>
          </w:p>
        </w:tc>
        <w:tc>
          <w:tcPr>
            <w:tcW w:w="8343" w:type="dxa"/>
            <w:vAlign w:val="center"/>
          </w:tcPr>
          <w:p w14:paraId="47BCE437">
            <w:pPr>
              <w:keepNext w:val="0"/>
              <w:keepLines w:val="0"/>
              <w:widowControl/>
              <w:suppressLineNumbers w:val="0"/>
              <w:jc w:val="center"/>
              <w:textAlignment w:val="center"/>
              <w:rPr>
                <w:rFonts w:hint="eastAsia" w:ascii="微软雅黑" w:hAnsi="微软雅黑" w:eastAsia="微软雅黑" w:cs="微软雅黑"/>
                <w:b w:val="0"/>
                <w:bCs w:val="0"/>
                <w:i w:val="0"/>
                <w:iCs w:val="0"/>
                <w:color w:val="auto"/>
                <w:kern w:val="0"/>
                <w:sz w:val="21"/>
                <w:szCs w:val="21"/>
                <w:u w:val="none"/>
                <w:lang w:val="en-US" w:eastAsia="zh-CN" w:bidi="ar"/>
              </w:rPr>
            </w:pPr>
            <w:r>
              <w:rPr>
                <w:rFonts w:hint="eastAsia" w:ascii="微软雅黑" w:hAnsi="微软雅黑" w:eastAsia="微软雅黑" w:cs="微软雅黑"/>
                <w:b w:val="0"/>
                <w:bCs w:val="0"/>
                <w:i w:val="0"/>
                <w:iCs w:val="0"/>
                <w:color w:val="auto"/>
                <w:kern w:val="0"/>
                <w:sz w:val="21"/>
                <w:szCs w:val="21"/>
                <w:u w:val="none"/>
                <w:lang w:val="en-US" w:eastAsia="zh-CN" w:bidi="ar"/>
              </w:rPr>
              <w:t>1×10⁶cells/T25培养瓶</w:t>
            </w:r>
          </w:p>
        </w:tc>
      </w:tr>
      <w:tr w14:paraId="4CDD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7FB337BF">
            <w:pPr>
              <w:tabs>
                <w:tab w:val="left" w:pos="581"/>
              </w:tabs>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细胞英文</w:t>
            </w:r>
          </w:p>
        </w:tc>
        <w:tc>
          <w:tcPr>
            <w:tcW w:w="8343" w:type="dxa"/>
            <w:vAlign w:val="center"/>
          </w:tcPr>
          <w:p w14:paraId="3C95EE17">
            <w:pPr>
              <w:keepNext w:val="0"/>
              <w:keepLines w:val="0"/>
              <w:widowControl/>
              <w:suppressLineNumbers w:val="0"/>
              <w:jc w:val="center"/>
              <w:textAlignment w:val="center"/>
              <w:rPr>
                <w:rFonts w:hint="eastAsia" w:ascii="微软雅黑" w:hAnsi="微软雅黑" w:eastAsia="微软雅黑" w:cs="微软雅黑"/>
                <w:b w:val="0"/>
                <w:bCs w:val="0"/>
                <w:i w:val="0"/>
                <w:iCs w:val="0"/>
                <w:color w:val="auto"/>
                <w:kern w:val="0"/>
                <w:sz w:val="21"/>
                <w:szCs w:val="21"/>
                <w:u w:val="none"/>
                <w:lang w:val="en-US" w:eastAsia="zh-CN" w:bidi="ar"/>
              </w:rPr>
            </w:pPr>
            <w:r>
              <w:rPr>
                <w:rFonts w:hint="eastAsia" w:ascii="微软雅黑" w:hAnsi="微软雅黑" w:eastAsia="微软雅黑" w:cs="微软雅黑"/>
                <w:b w:val="0"/>
                <w:bCs w:val="0"/>
                <w:i w:val="0"/>
                <w:iCs w:val="0"/>
                <w:color w:val="auto"/>
                <w:kern w:val="0"/>
                <w:sz w:val="21"/>
                <w:szCs w:val="21"/>
                <w:u w:val="none"/>
                <w:lang w:val="en-US" w:eastAsia="zh-CN" w:bidi="ar"/>
              </w:rPr>
              <w:t>NOZAWA ; NOZC-1</w:t>
            </w:r>
          </w:p>
        </w:tc>
      </w:tr>
      <w:tr w14:paraId="2B91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36" w:type="dxa"/>
            <w:vAlign w:val="center"/>
          </w:tcPr>
          <w:p w14:paraId="163B0F7D">
            <w:pPr>
              <w:tabs>
                <w:tab w:val="left" w:pos="453"/>
              </w:tabs>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基本形态</w:t>
            </w:r>
          </w:p>
        </w:tc>
        <w:tc>
          <w:tcPr>
            <w:tcW w:w="8343" w:type="dxa"/>
            <w:vAlign w:val="center"/>
          </w:tcPr>
          <w:p w14:paraId="6093A974">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上皮样</w:t>
            </w:r>
          </w:p>
        </w:tc>
      </w:tr>
      <w:tr w14:paraId="534B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36" w:type="dxa"/>
            <w:vAlign w:val="center"/>
          </w:tcPr>
          <w:p w14:paraId="2A299A1E">
            <w:pPr>
              <w:tabs>
                <w:tab w:val="left" w:pos="453"/>
              </w:tabs>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传代方法</w:t>
            </w:r>
          </w:p>
        </w:tc>
        <w:tc>
          <w:tcPr>
            <w:tcW w:w="8343" w:type="dxa"/>
            <w:vAlign w:val="center"/>
          </w:tcPr>
          <w:p w14:paraId="0F49B70C">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1 : 3传代 ；2~3天1次</w:t>
            </w:r>
          </w:p>
        </w:tc>
      </w:tr>
      <w:tr w14:paraId="57D0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36" w:type="dxa"/>
            <w:vAlign w:val="center"/>
          </w:tcPr>
          <w:p w14:paraId="46CB5046">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培养条件</w:t>
            </w:r>
          </w:p>
        </w:tc>
        <w:tc>
          <w:tcPr>
            <w:tcW w:w="8343" w:type="dxa"/>
            <w:vAlign w:val="center"/>
          </w:tcPr>
          <w:p w14:paraId="4822F67C">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气相：空气，95%；CO2,5% ；温度：37℃</w:t>
            </w:r>
          </w:p>
        </w:tc>
      </w:tr>
      <w:tr w14:paraId="6486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2EC16B64">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val="en-US" w:eastAsia="zh-CN"/>
              </w:rPr>
              <w:t>生长特性</w:t>
            </w:r>
          </w:p>
        </w:tc>
        <w:tc>
          <w:tcPr>
            <w:tcW w:w="8343" w:type="dxa"/>
            <w:vAlign w:val="center"/>
          </w:tcPr>
          <w:p w14:paraId="6DD4D750">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贴壁生长</w:t>
            </w:r>
          </w:p>
        </w:tc>
      </w:tr>
      <w:tr w14:paraId="5187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5BB6517D">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消化时间</w:t>
            </w:r>
          </w:p>
        </w:tc>
        <w:tc>
          <w:tcPr>
            <w:tcW w:w="8343" w:type="dxa"/>
            <w:vAlign w:val="center"/>
          </w:tcPr>
          <w:p w14:paraId="436C0193">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1－3分钟</w:t>
            </w:r>
          </w:p>
        </w:tc>
      </w:tr>
      <w:tr w14:paraId="59F0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10452DC3">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冻存条件</w:t>
            </w:r>
          </w:p>
        </w:tc>
        <w:tc>
          <w:tcPr>
            <w:tcW w:w="8343" w:type="dxa"/>
            <w:vAlign w:val="center"/>
          </w:tcPr>
          <w:p w14:paraId="34007F78">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无血清细胞冻存液</w:t>
            </w:r>
          </w:p>
        </w:tc>
      </w:tr>
      <w:tr w14:paraId="6516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1B36D2F9">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完全培养基</w:t>
            </w:r>
          </w:p>
        </w:tc>
        <w:tc>
          <w:tcPr>
            <w:tcW w:w="8343" w:type="dxa"/>
            <w:vAlign w:val="center"/>
          </w:tcPr>
          <w:p w14:paraId="31126827">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 xml:space="preserve">DMEM(高糖)+10%FBS  </w:t>
            </w:r>
            <w:r>
              <w:rPr>
                <w:rFonts w:hint="eastAsia" w:ascii="微软雅黑" w:hAnsi="微软雅黑" w:eastAsia="微软雅黑" w:cs="微软雅黑"/>
                <w:b/>
                <w:bCs/>
                <w:i w:val="0"/>
                <w:iCs w:val="0"/>
                <w:color w:val="0070C0"/>
                <w:kern w:val="2"/>
                <w:sz w:val="21"/>
                <w:szCs w:val="21"/>
                <w:u w:val="none"/>
                <w:lang w:val="en-US" w:eastAsia="zh-CN" w:bidi="ar-SA"/>
              </w:rPr>
              <w:fldChar w:fldCharType="begin"/>
            </w:r>
            <w:r>
              <w:rPr>
                <w:rFonts w:hint="eastAsia" w:ascii="微软雅黑" w:hAnsi="微软雅黑" w:eastAsia="微软雅黑" w:cs="微软雅黑"/>
                <w:b/>
                <w:bCs/>
                <w:i w:val="0"/>
                <w:iCs w:val="0"/>
                <w:color w:val="0070C0"/>
                <w:kern w:val="2"/>
                <w:sz w:val="21"/>
                <w:szCs w:val="21"/>
                <w:u w:val="none"/>
                <w:lang w:val="en-US" w:eastAsia="zh-CN" w:bidi="ar-SA"/>
              </w:rPr>
              <w:instrText xml:space="preserve"> HYPERLINK "https://www.tw-reagent.com/goods.php?id=42502" </w:instrText>
            </w:r>
            <w:r>
              <w:rPr>
                <w:rFonts w:hint="eastAsia" w:ascii="微软雅黑" w:hAnsi="微软雅黑" w:eastAsia="微软雅黑" w:cs="微软雅黑"/>
                <w:b/>
                <w:bCs/>
                <w:i w:val="0"/>
                <w:iCs w:val="0"/>
                <w:color w:val="0070C0"/>
                <w:kern w:val="2"/>
                <w:sz w:val="21"/>
                <w:szCs w:val="21"/>
                <w:u w:val="none"/>
                <w:lang w:val="en-US" w:eastAsia="zh-CN" w:bidi="ar-SA"/>
              </w:rPr>
              <w:fldChar w:fldCharType="separate"/>
            </w:r>
            <w:r>
              <w:rPr>
                <w:rStyle w:val="7"/>
                <w:rFonts w:hint="eastAsia" w:ascii="微软雅黑" w:hAnsi="微软雅黑" w:eastAsia="微软雅黑" w:cs="微软雅黑"/>
                <w:b/>
                <w:bCs/>
                <w:i w:val="0"/>
                <w:iCs w:val="0"/>
                <w:color w:val="0070C0"/>
                <w:kern w:val="2"/>
                <w:sz w:val="21"/>
                <w:szCs w:val="21"/>
                <w:lang w:val="en-US" w:eastAsia="zh-CN" w:bidi="ar-SA"/>
              </w:rPr>
              <w:t>NOZ 完全培养基</w:t>
            </w:r>
            <w:r>
              <w:rPr>
                <w:rFonts w:hint="eastAsia" w:ascii="微软雅黑" w:hAnsi="微软雅黑" w:eastAsia="微软雅黑" w:cs="微软雅黑"/>
                <w:b/>
                <w:bCs/>
                <w:i w:val="0"/>
                <w:iCs w:val="0"/>
                <w:color w:val="0070C0"/>
                <w:kern w:val="2"/>
                <w:sz w:val="21"/>
                <w:szCs w:val="21"/>
                <w:u w:val="none"/>
                <w:lang w:val="en-US" w:eastAsia="zh-CN" w:bidi="ar-SA"/>
              </w:rPr>
              <w:fldChar w:fldCharType="end"/>
            </w:r>
          </w:p>
        </w:tc>
      </w:tr>
      <w:tr w14:paraId="3910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75970CF8">
            <w:pPr>
              <w:jc w:val="center"/>
              <w:rPr>
                <w:rFonts w:hint="eastAsia" w:ascii="微软雅黑" w:hAnsi="微软雅黑" w:eastAsia="微软雅黑" w:cs="微软雅黑"/>
                <w:b w:val="0"/>
                <w:bCs w:val="0"/>
                <w:kern w:val="2"/>
                <w:sz w:val="21"/>
                <w:szCs w:val="21"/>
                <w:vertAlign w:val="baseline"/>
                <w:lang w:val="en-US" w:eastAsia="zh-CN" w:bidi="ar-SA"/>
              </w:rPr>
            </w:pPr>
            <w:r>
              <w:rPr>
                <w:rFonts w:hint="eastAsia" w:ascii="微软雅黑" w:hAnsi="微软雅黑" w:eastAsia="微软雅黑" w:cs="微软雅黑"/>
                <w:b w:val="0"/>
                <w:bCs w:val="0"/>
                <w:sz w:val="21"/>
                <w:szCs w:val="21"/>
                <w:vertAlign w:val="baseline"/>
                <w:lang w:eastAsia="zh-CN"/>
              </w:rPr>
              <w:t>培养环境</w:t>
            </w:r>
          </w:p>
        </w:tc>
        <w:tc>
          <w:tcPr>
            <w:tcW w:w="8343" w:type="dxa"/>
            <w:vAlign w:val="center"/>
          </w:tcPr>
          <w:p w14:paraId="62804534">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37℃，5%CO2，95%AIR</w:t>
            </w:r>
          </w:p>
        </w:tc>
      </w:tr>
      <w:tr w14:paraId="242B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6" w:type="dxa"/>
            <w:vAlign w:val="center"/>
          </w:tcPr>
          <w:p w14:paraId="37594EA5">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供应范围</w:t>
            </w:r>
          </w:p>
        </w:tc>
        <w:tc>
          <w:tcPr>
            <w:tcW w:w="8343" w:type="dxa"/>
            <w:vAlign w:val="center"/>
          </w:tcPr>
          <w:p w14:paraId="48CDE3A9">
            <w:pPr>
              <w:keepNext w:val="0"/>
              <w:keepLines w:val="0"/>
              <w:widowControl/>
              <w:suppressLineNumbers w:val="0"/>
              <w:jc w:val="center"/>
              <w:textAlignment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仅供科研使用</w:t>
            </w:r>
          </w:p>
        </w:tc>
      </w:tr>
      <w:tr w14:paraId="4CBD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6" w:type="dxa"/>
            <w:vAlign w:val="center"/>
          </w:tcPr>
          <w:p w14:paraId="2CDB9497">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注意事项</w:t>
            </w:r>
          </w:p>
        </w:tc>
        <w:tc>
          <w:tcPr>
            <w:tcW w:w="8343" w:type="dxa"/>
            <w:vAlign w:val="center"/>
          </w:tcPr>
          <w:p w14:paraId="32B3D7D9">
            <w:pPr>
              <w:keepNext w:val="0"/>
              <w:keepLines w:val="0"/>
              <w:widowControl/>
              <w:suppressLineNumbers w:val="0"/>
              <w:jc w:val="center"/>
              <w:textAlignment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若发现干冰已挥发干净、冻存管瓶盖脱落、破损及细胞有染，请立即与我们联系</w:t>
            </w:r>
          </w:p>
        </w:tc>
      </w:tr>
    </w:tbl>
    <w:p w14:paraId="19B94F90">
      <w:pPr>
        <w:rPr>
          <w:rFonts w:hint="eastAsia" w:ascii="微软雅黑" w:hAnsi="微软雅黑" w:eastAsia="微软雅黑" w:cs="微软雅黑"/>
          <w:b/>
          <w:bCs/>
          <w:color w:val="2E54A1" w:themeColor="accent1" w:themeShade="BF"/>
          <w:sz w:val="24"/>
          <w:szCs w:val="24"/>
          <w:u w:val="single"/>
          <w:lang w:eastAsia="zh-CN"/>
        </w:rPr>
      </w:pPr>
    </w:p>
    <w:p w14:paraId="3557B7A3">
      <w:pPr>
        <w:rPr>
          <w:rFonts w:hint="eastAsia" w:ascii="微软雅黑" w:hAnsi="微软雅黑" w:eastAsia="微软雅黑" w:cs="微软雅黑"/>
          <w:b/>
          <w:bCs/>
          <w:color w:val="2E54A1" w:themeColor="accent1" w:themeShade="BF"/>
          <w:sz w:val="24"/>
          <w:szCs w:val="24"/>
          <w:u w:val="single"/>
          <w:lang w:eastAsia="zh-CN"/>
        </w:rPr>
      </w:pPr>
    </w:p>
    <w:p w14:paraId="49DEBB00">
      <w:pPr>
        <w:rPr>
          <w:rFonts w:hint="eastAsia" w:ascii="微软雅黑" w:hAnsi="微软雅黑" w:eastAsia="微软雅黑" w:cs="微软雅黑"/>
          <w:b/>
          <w:bCs/>
          <w:color w:val="2E54A1" w:themeColor="accent1" w:themeShade="BF"/>
          <w:sz w:val="24"/>
          <w:szCs w:val="24"/>
          <w:u w:val="single"/>
          <w:lang w:eastAsia="zh-CN"/>
        </w:rPr>
      </w:pPr>
    </w:p>
    <w:p w14:paraId="547B96B9">
      <w:pPr>
        <w:rPr>
          <w:rFonts w:hint="eastAsia" w:ascii="微软雅黑" w:hAnsi="微软雅黑" w:eastAsia="微软雅黑" w:cs="微软雅黑"/>
          <w:b/>
          <w:bCs/>
          <w:color w:val="2E54A1" w:themeColor="accent1" w:themeShade="BF"/>
          <w:sz w:val="24"/>
          <w:szCs w:val="24"/>
          <w:u w:val="single"/>
          <w:lang w:eastAsia="zh-CN"/>
        </w:rPr>
      </w:pPr>
    </w:p>
    <w:p w14:paraId="02DB574F">
      <w:pPr>
        <w:numPr>
          <w:ilvl w:val="0"/>
          <w:numId w:val="0"/>
        </w:numPr>
        <w:ind w:leftChars="0"/>
        <w:jc w:val="both"/>
        <w:rPr>
          <w:rFonts w:hint="eastAsia" w:ascii="微软雅黑" w:hAnsi="微软雅黑" w:eastAsia="微软雅黑" w:cs="微软雅黑"/>
          <w:b/>
          <w:bCs/>
          <w:color w:val="2E54A1" w:themeColor="accent1" w:themeShade="BF"/>
          <w:sz w:val="28"/>
          <w:szCs w:val="28"/>
          <w:u w:val="single"/>
          <w:lang w:eastAsia="zh-CN"/>
        </w:rPr>
      </w:pPr>
      <w:r>
        <w:rPr>
          <w:rFonts w:hint="eastAsia" w:ascii="微软雅黑" w:hAnsi="微软雅黑" w:eastAsia="微软雅黑" w:cs="微软雅黑"/>
          <w:b/>
          <w:bCs/>
          <w:color w:val="000000" w:themeColor="text1"/>
          <w:sz w:val="28"/>
          <w:szCs w:val="28"/>
          <w:highlight w:val="none"/>
          <w:u w:val="none"/>
          <w:shd w:val="clear" w:color="FFFFFF" w:fill="D9D9D9"/>
          <w14:textFill>
            <w14:gradFill>
              <w14:gsLst>
                <w14:gs w14:pos="0">
                  <w14:srgbClr w14:val="7B32B2"/>
                </w14:gs>
                <w14:gs w14:pos="100000">
                  <w14:srgbClr w14:val="401A5D"/>
                </w14:gs>
              </w14:gsLst>
              <w14:lin w14:scaled="0"/>
            </w14:gradFill>
          </w14:textFill>
        </w:rPr>
        <w:t>细胞</w:t>
      </w: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操作</w:t>
      </w:r>
    </w:p>
    <w:tbl>
      <w:tblPr>
        <w:tblStyle w:val="5"/>
        <w:tblpPr w:leftFromText="180" w:rightFromText="180" w:vertAnchor="text" w:horzAnchor="page" w:tblpX="1785" w:tblpY="75"/>
        <w:tblOverlap w:val="never"/>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183"/>
      </w:tblGrid>
      <w:tr w14:paraId="4DF1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5F867694">
            <w:pPr>
              <w:jc w:val="center"/>
              <w:rPr>
                <w:rFonts w:hint="default" w:ascii="微软雅黑" w:hAnsi="微软雅黑" w:eastAsia="微软雅黑" w:cs="微软雅黑"/>
                <w:b w:val="0"/>
                <w:bCs w:val="0"/>
                <w:color w:val="auto"/>
                <w:sz w:val="21"/>
                <w:szCs w:val="21"/>
                <w:u w:val="singl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到货处理</w:t>
            </w:r>
          </w:p>
        </w:tc>
        <w:tc>
          <w:tcPr>
            <w:tcW w:w="8183" w:type="dxa"/>
            <w:vAlign w:val="center"/>
          </w:tcPr>
          <w:p w14:paraId="61CC1BB3">
            <w:pPr>
              <w:jc w:val="left"/>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pPr>
            <w:r>
              <w:rPr>
                <w:rFonts w:hint="default" w:ascii="微软雅黑" w:hAnsi="微软雅黑" w:eastAsia="微软雅黑" w:cs="微软雅黑"/>
                <w:b w:val="0"/>
                <w:bCs w:val="0"/>
                <w:color w:val="0070C0"/>
                <w:sz w:val="21"/>
                <w:szCs w:val="21"/>
                <w:u w:val="none"/>
                <w:vertAlign w:val="baseline"/>
                <w:lang w:val="en-US" w:eastAsia="zh-CN"/>
              </w:rPr>
              <w:t>1、</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收到细胞后，检查外包装情况和箱内是否还有干冰。如有外包装破损干冰已完全挥发等问题，请即时联系。</w:t>
            </w:r>
          </w:p>
          <w:p w14:paraId="1E9837B4">
            <w:pPr>
              <w:jc w:val="left"/>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将细胞取出转移至液氮或－80 度冰箱保存，建议尽早复苏。</w:t>
            </w:r>
          </w:p>
          <w:p w14:paraId="4D7B7126">
            <w:pPr>
              <w:jc w:val="left"/>
              <w:rPr>
                <w:rFonts w:hint="default" w:ascii="微软雅黑" w:hAnsi="微软雅黑" w:eastAsia="微软雅黑" w:cs="微软雅黑"/>
                <w:b w:val="0"/>
                <w:bCs w:val="0"/>
                <w:color w:val="auto"/>
                <w:sz w:val="21"/>
                <w:szCs w:val="21"/>
                <w:u w:val="singl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复苏第一管如有活性状态问题及时与我们联系，会有技术人员与您沟通指导后再复苏第二管。</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br w:type="textWrapping"/>
            </w:r>
            <w:r>
              <w:rPr>
                <w:rFonts w:hint="default" w:ascii="微软雅黑" w:hAnsi="微软雅黑" w:eastAsia="微软雅黑" w:cs="微软雅黑"/>
                <w:b/>
                <w:bCs/>
                <w:color w:val="0070C0"/>
                <w:sz w:val="21"/>
                <w:szCs w:val="21"/>
                <w:u w:val="none"/>
                <w:vertAlign w:val="baseline"/>
                <w:lang w:val="en-US" w:eastAsia="zh-CN"/>
              </w:rPr>
              <w:t>特别说明：</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未与我方联系擅自复苏第二管出现问题不予售后。</w:t>
            </w:r>
          </w:p>
        </w:tc>
      </w:tr>
      <w:tr w14:paraId="282C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37D4F77E">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细胞复苏</w:t>
            </w:r>
          </w:p>
        </w:tc>
        <w:tc>
          <w:tcPr>
            <w:tcW w:w="8183" w:type="dxa"/>
            <w:vAlign w:val="center"/>
          </w:tcPr>
          <w:p w14:paraId="4C313DD2">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从液氮中取出细胞冻存管（注意：佩戴防爆管面具），快速将其置入 37℃水浴中解冻，直至冻存管中无结晶，然后用 75%的酒精擦拭冻存管外壁。</w:t>
            </w:r>
          </w:p>
          <w:p w14:paraId="499D15E0">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将冻存管中的细胞移至含 5ml 完全培养基的 15ml 离心管中，1000rpm 离心 5min。</w:t>
            </w:r>
          </w:p>
          <w:p w14:paraId="104C1226">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弃上清，沉淀用 5ml 完全培养基重悬，接种 T25 培养瓶，于 37℃,5%CO2 细胞培养箱中培养。</w:t>
            </w:r>
          </w:p>
          <w:p w14:paraId="471A0A1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第二天，换用新鲜完全培养基继续培养。</w:t>
            </w:r>
          </w:p>
        </w:tc>
      </w:tr>
      <w:tr w14:paraId="5A54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7261DE07">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细胞传代</w:t>
            </w:r>
          </w:p>
        </w:tc>
        <w:tc>
          <w:tcPr>
            <w:tcW w:w="8183" w:type="dxa"/>
            <w:vAlign w:val="center"/>
          </w:tcPr>
          <w:p w14:paraId="053C574A">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细胞生长至覆盖培养瓶的 80%面积时，弃 T25 培养瓶中的培养液，用 PBS 清洗细胞一次。</w:t>
            </w:r>
          </w:p>
          <w:p w14:paraId="54B52E49">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添加 0.25%胰蛋白酶消化液约 1ml 至培养瓶中，倒置显微镜下观察，待细胞回缩变圆后加入 5ml 完全培养液终止消化，再轻轻吹打细胞使之脱落，然后将悬液转移至 15ml 离心管中，1000rpm 离心 5min。</w:t>
            </w:r>
          </w:p>
          <w:p w14:paraId="7AD13609">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弃上清，沉淀细胞用 1-2ml 完全培养基重悬，然后按 1:2 比例进行分瓶传代（两个 T25），补充新的完全培养基至 5-8ml/瓶，放入 37℃,5%CO2 细胞培养箱中培养。</w:t>
            </w:r>
          </w:p>
        </w:tc>
      </w:tr>
      <w:tr w14:paraId="5A18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55D9A0AC">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细胞冻存</w:t>
            </w:r>
          </w:p>
        </w:tc>
        <w:tc>
          <w:tcPr>
            <w:tcW w:w="8183" w:type="dxa"/>
            <w:vAlign w:val="center"/>
          </w:tcPr>
          <w:p w14:paraId="46D4289C">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细胞生长至覆盖培养瓶的 80%面积时，弃 T25 培养瓶中的培养液，用 PBS 清洗细胞一次。</w:t>
            </w:r>
          </w:p>
          <w:p w14:paraId="1365842D">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添加 0.25%胰蛋白酶消化液约 1ml 至培养瓶中，倒置显微镜下观察，待细胞回缩变圆后加入 5ml 完全培养液终止消化，再轻轻吹打细胞使之脱落，然后将悬液转移至 15ml 离心管中，1000rpm 离心 5min。</w:t>
            </w:r>
          </w:p>
          <w:p w14:paraId="4CBE73C6">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弃上清，沉淀细胞加入 1ml/支的无血清冻存液，混匀后加入冻存管中。（如：冻一支，加入 1ml 无血清冻存液）</w:t>
            </w:r>
          </w:p>
          <w:p w14:paraId="01E86B5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将冻存细胞直接放入－80℃冰箱即可；如后期要将细胞转入液氮罐中，需在-80℃冰箱存放 24 小时以上。</w:t>
            </w:r>
          </w:p>
        </w:tc>
      </w:tr>
      <w:tr w14:paraId="3B60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779" w:type="dxa"/>
            <w:gridSpan w:val="2"/>
            <w:vAlign w:val="center"/>
          </w:tcPr>
          <w:p w14:paraId="1A29D462">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T25细胞到货处理</w:t>
            </w:r>
          </w:p>
        </w:tc>
      </w:tr>
      <w:tr w14:paraId="4CD6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282309AB">
            <w:pPr>
              <w:jc w:val="center"/>
              <w:rPr>
                <w:rFonts w:hint="default" w:ascii="微软雅黑" w:hAnsi="微软雅黑" w:eastAsia="微软雅黑" w:cs="微软雅黑"/>
                <w:b/>
                <w:bCs/>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观察</w:t>
            </w:r>
          </w:p>
        </w:tc>
        <w:tc>
          <w:tcPr>
            <w:tcW w:w="8183" w:type="dxa"/>
            <w:vAlign w:val="center"/>
          </w:tcPr>
          <w:p w14:paraId="6A414937">
            <w:pPr>
              <w:jc w:val="left"/>
              <w:rPr>
                <w:rFonts w:hint="default" w:ascii="微软雅黑" w:hAnsi="微软雅黑" w:eastAsia="微软雅黑" w:cs="微软雅黑"/>
                <w:b/>
                <w:bCs/>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收到细胞后，请及时核对培养瓶上标注的细胞名称是否与订购的细胞名称一致以及培养瓶是否有破损或漏液等异常情况。</w:t>
            </w:r>
          </w:p>
        </w:tc>
      </w:tr>
      <w:tr w14:paraId="10CF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1E96E32C">
            <w:pPr>
              <w:jc w:val="center"/>
              <w:rPr>
                <w:rFonts w:hint="eastAsia"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处理</w:t>
            </w:r>
          </w:p>
        </w:tc>
        <w:tc>
          <w:tcPr>
            <w:tcW w:w="8183" w:type="dxa"/>
            <w:vAlign w:val="center"/>
          </w:tcPr>
          <w:p w14:paraId="30AF69DB">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75%酒精棉球擦拭 T25 细胞培养瓶外部。</w:t>
            </w:r>
            <w:r>
              <w:rPr>
                <w:rFonts w:hint="default" w:ascii="微软雅黑" w:hAnsi="微软雅黑" w:eastAsia="微软雅黑" w:cs="微软雅黑"/>
                <w:b w:val="0"/>
                <w:bCs w:val="0"/>
                <w:color w:val="auto"/>
                <w:sz w:val="21"/>
                <w:szCs w:val="21"/>
                <w:u w:val="none"/>
                <w:vertAlign w:val="baseline"/>
                <w:lang w:val="en-US" w:eastAsia="zh-CN"/>
              </w:rPr>
              <w:br w:type="textWrapping"/>
            </w: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显微镜观察细胞生长情况，并对细胞进行不同倍数拍照保存（40x,100x,200x 各一张）前三天照片为重要售后依据，不提供照片默认收到状态良好。</w:t>
            </w:r>
          </w:p>
          <w:p w14:paraId="526C53DD">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不要打开培养瓶盖，将细胞放入 37 度培养箱中静置 3-4 小时后再做处理，以稳定细胞状态。</w:t>
            </w:r>
          </w:p>
          <w:p w14:paraId="6F57622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收到细胞后，及时查看说明书是贴壁细胞还是悬浮细胞形态，并按常规贴壁或悬浮细胞的传代方法操作。</w:t>
            </w:r>
          </w:p>
        </w:tc>
      </w:tr>
      <w:tr w14:paraId="2EB8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1AAA7B26">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贴壁</w:t>
            </w:r>
          </w:p>
        </w:tc>
        <w:tc>
          <w:tcPr>
            <w:tcW w:w="8183" w:type="dxa"/>
            <w:vAlign w:val="center"/>
          </w:tcPr>
          <w:p w14:paraId="34211F9F">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未超过 80%汇合度时，将瓶装的完全培养液收集至离心管中，留 5ml 完全培养基，放入 37℃、5%CO2 孵箱培养；超过 80%汇合度时，根据情况传代或者冻存，具体操作见细胞培养步骤。首次传代，建议 1:2 传代两个 T25，传代时建议一瓶用原瓶里面的完全培养基，另外一瓶用自己配的完全培养基，进行对比培养。</w:t>
            </w:r>
          </w:p>
        </w:tc>
      </w:tr>
      <w:tr w14:paraId="2405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2A1624DE">
            <w:pPr>
              <w:jc w:val="center"/>
              <w:rPr>
                <w:rFonts w:hint="eastAsia"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细胞注意事项</w:t>
            </w:r>
          </w:p>
        </w:tc>
        <w:tc>
          <w:tcPr>
            <w:tcW w:w="8183" w:type="dxa"/>
            <w:vAlign w:val="center"/>
          </w:tcPr>
          <w:p w14:paraId="4E1FEF30">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个别细胞贴壁不牢，在运输过程中发生细胞脱落，这是正常现象。</w:t>
            </w:r>
          </w:p>
          <w:p w14:paraId="024612FA">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请将培养瓶所有培养液收集至离心管，1000rpm 离心 5min，收集上清（后期对比培养使用），沉淀加入胰酶 1-2ml，轻轻吹打，重悬，消化 1-2 分钟后，加 5ml 完全培养基终止反应。再离心，弃上清，加 1-2ml 完全培养基重悬。然后按 1:2 比例进行分瓶传代（两个 T25），补充新的完全培养基至 5-8ml/瓶，放入37℃,5%CO2 细胞培养箱中培养。</w:t>
            </w:r>
          </w:p>
          <w:p w14:paraId="0E6362B5">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w:t>
            </w:r>
            <w:r>
              <w:rPr>
                <w:rFonts w:hint="default" w:ascii="微软雅黑" w:hAnsi="微软雅黑" w:eastAsia="微软雅黑" w:cs="微软雅黑"/>
                <w:b/>
                <w:bCs/>
                <w:color w:val="0070C0"/>
                <w:sz w:val="21"/>
                <w:szCs w:val="21"/>
                <w:u w:val="none"/>
                <w:vertAlign w:val="baseline"/>
                <w:lang w:val="en-US" w:eastAsia="zh-CN"/>
              </w:rPr>
              <w:t>注意：</w:t>
            </w:r>
            <w:r>
              <w:rPr>
                <w:rFonts w:hint="default" w:ascii="微软雅黑" w:hAnsi="微软雅黑" w:eastAsia="微软雅黑" w:cs="微软雅黑"/>
                <w:b w:val="0"/>
                <w:bCs w:val="0"/>
                <w:color w:val="auto"/>
                <w:sz w:val="21"/>
                <w:szCs w:val="21"/>
                <w:u w:val="none"/>
                <w:vertAlign w:val="baseline"/>
                <w:lang w:val="en-US" w:eastAsia="zh-CN"/>
              </w:rPr>
              <w:t>如收到密封培养瓶，处理完后放入培养箱培养时要将培养瓶盖子拧松)</w:t>
            </w:r>
          </w:p>
        </w:tc>
      </w:tr>
    </w:tbl>
    <w:p w14:paraId="1A9FF1D1">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br w:type="textWrapping"/>
      </w: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售后服务</w:t>
      </w:r>
    </w:p>
    <w:tbl>
      <w:tblPr>
        <w:tblStyle w:val="5"/>
        <w:tblpPr w:leftFromText="180" w:rightFromText="180" w:vertAnchor="text" w:horzAnchor="page" w:tblpX="1907" w:tblpY="222"/>
        <w:tblOverlap w:val="never"/>
        <w:tblW w:w="9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0"/>
      </w:tblGrid>
      <w:tr w14:paraId="1861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03B6DEEA">
            <w:pPr>
              <w:numPr>
                <w:ilvl w:val="0"/>
                <w:numId w:val="0"/>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1"/>
                <w:szCs w:val="21"/>
                <w:vertAlign w:val="baseline"/>
                <w:lang w:val="en-US" w:eastAsia="zh-CN"/>
              </w:rPr>
              <w:t>细胞予重发</w:t>
            </w:r>
          </w:p>
        </w:tc>
      </w:tr>
      <w:tr w14:paraId="7EC9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980" w:type="dxa"/>
            <w:vAlign w:val="center"/>
          </w:tcPr>
          <w:p w14:paraId="0543DB4B">
            <w:pPr>
              <w:numPr>
                <w:ilvl w:val="0"/>
                <w:numId w:val="1"/>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细胞运输中遭遇的各种问题，细胞丢失瓶身破损、培养液严重漏液等，</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highlight w:val="none"/>
                <w:vertAlign w:val="baseline"/>
                <w:lang w:val="en-US" w:eastAsia="zh-CN"/>
              </w:rPr>
              <w:t>。</w:t>
            </w:r>
          </w:p>
        </w:tc>
      </w:tr>
      <w:tr w14:paraId="57BC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980" w:type="dxa"/>
            <w:vAlign w:val="center"/>
          </w:tcPr>
          <w:p w14:paraId="365E2D46">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收到细胞未开封，如出现污染状况，</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68A4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980" w:type="dxa"/>
            <w:vAlign w:val="center"/>
          </w:tcPr>
          <w:p w14:paraId="27A0960C">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收到细胞3天内，发现污染问题，经核实后，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2192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980" w:type="dxa"/>
            <w:vAlign w:val="center"/>
          </w:tcPr>
          <w:p w14:paraId="521E340B">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常温发货细胞静置2小时后，干冰冻存发货细胞复苏2天后，绝大多数细胞未存活，经核实后，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67E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9980" w:type="dxa"/>
            <w:vAlign w:val="center"/>
          </w:tcPr>
          <w:p w14:paraId="2C0E0164">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常温发货的细胞静置22小时且未开封或干冰冻存发货的细胞复苏2天后，出现污染经核实后，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218D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980" w:type="dxa"/>
            <w:vAlign w:val="center"/>
          </w:tcPr>
          <w:p w14:paraId="16ED00FB">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细胞活性问题在收到产品3天内提出真实实验结果，用台盼蓝染色法鉴定细胞活力，经核实后，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5F29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980" w:type="dxa"/>
            <w:vAlign w:val="center"/>
          </w:tcPr>
          <w:p w14:paraId="234F791F">
            <w:pPr>
              <w:numPr>
                <w:ilvl w:val="0"/>
                <w:numId w:val="0"/>
              </w:numPr>
              <w:ind w:left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1"/>
                <w:szCs w:val="21"/>
                <w:vertAlign w:val="baseline"/>
                <w:lang w:val="en-US" w:eastAsia="zh-CN"/>
              </w:rPr>
              <w:t>细胞不予重发</w:t>
            </w:r>
          </w:p>
        </w:tc>
      </w:tr>
      <w:tr w14:paraId="2506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71A7CF35">
            <w:pPr>
              <w:numPr>
                <w:ilvl w:val="0"/>
                <w:numId w:val="2"/>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客户操作造成细胞污染，</w:t>
            </w:r>
            <w:r>
              <w:rPr>
                <w:rFonts w:hint="eastAsia" w:ascii="微软雅黑" w:hAnsi="微软雅黑" w:eastAsia="微软雅黑" w:cs="微软雅黑"/>
                <w:b/>
                <w:bCs/>
                <w:color w:val="auto"/>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22CF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980" w:type="dxa"/>
            <w:vAlign w:val="center"/>
          </w:tcPr>
          <w:p w14:paraId="67C9747D">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客户严重操作失误致细胞状态不好，</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F91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40C36BC8">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非我们推荐细胞培养体系致的细胞状态不好，</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70B5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3B49D72C">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细胞状态不好，未提供真实清晰的培养前3天的细胞状态照片，</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2B66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0B48725F">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细胞培养时经其它处理导致细胞出现问题的，</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58F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3EE4190F">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收到细胞发现问题与客服人员沟通的时间证明大于3天的，</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B90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5FC02C3D">
            <w:pPr>
              <w:numPr>
                <w:ilvl w:val="0"/>
                <w:numId w:val="0"/>
              </w:numPr>
              <w:ind w:left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8"/>
                <w:szCs w:val="28"/>
                <w:vertAlign w:val="baseline"/>
                <w:lang w:val="en-US" w:eastAsia="zh-CN"/>
              </w:rPr>
              <w:t>特别说明</w:t>
            </w:r>
          </w:p>
        </w:tc>
      </w:tr>
      <w:tr w14:paraId="67F4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980" w:type="dxa"/>
            <w:vAlign w:val="center"/>
          </w:tcPr>
          <w:p w14:paraId="1246378D">
            <w:pPr>
              <w:numPr>
                <w:ilvl w:val="0"/>
                <w:numId w:val="0"/>
              </w:numPr>
              <w:ind w:leftChars="0"/>
              <w:jc w:val="both"/>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上海通蔚生物客户在细胞培养过程中，有任何技术问题可以拨打免费服务电话</w:t>
            </w:r>
            <w:r>
              <w:rPr>
                <w:rFonts w:hint="eastAsia" w:ascii="微软雅黑" w:hAnsi="微软雅黑" w:eastAsia="微软雅黑" w:cs="微软雅黑"/>
                <w:b/>
                <w:bCs/>
                <w:color w:val="FF0000"/>
                <w:sz w:val="21"/>
                <w:szCs w:val="21"/>
                <w:vertAlign w:val="baseline"/>
                <w:lang w:val="en-US" w:eastAsia="zh-CN"/>
              </w:rPr>
              <w:t>021-54845833或</w:t>
            </w:r>
            <w:r>
              <w:rPr>
                <w:rFonts w:hint="eastAsia" w:ascii="微软雅黑" w:hAnsi="微软雅黑" w:eastAsia="微软雅黑" w:cs="微软雅黑"/>
                <w:b/>
                <w:bCs/>
                <w:color w:val="FF0000"/>
                <w:sz w:val="21"/>
                <w:szCs w:val="21"/>
                <w:u w:val="none"/>
                <w:vertAlign w:val="baseline"/>
                <w:lang w:val="en-US" w:eastAsia="zh-CN"/>
              </w:rPr>
              <w:t>15800441009</w:t>
            </w:r>
            <w:r>
              <w:rPr>
                <w:rFonts w:hint="eastAsia" w:ascii="微软雅黑" w:hAnsi="微软雅黑" w:eastAsia="微软雅黑" w:cs="微软雅黑"/>
                <w:sz w:val="21"/>
                <w:szCs w:val="21"/>
                <w:vertAlign w:val="baseline"/>
                <w:lang w:val="en-US" w:eastAsia="zh-CN"/>
              </w:rPr>
              <w:t>，我们随时给予实验中的免费解答。</w:t>
            </w:r>
          </w:p>
        </w:tc>
      </w:tr>
    </w:tbl>
    <w:p w14:paraId="58B01533">
      <w:pPr>
        <w:rPr>
          <w:rFonts w:hint="eastAsia" w:eastAsiaTheme="minorEastAsia"/>
          <w:lang w:eastAsia="zh-CN"/>
        </w:rPr>
      </w:pPr>
    </w:p>
    <w:p w14:paraId="0E2DCB16"/>
    <w:p w14:paraId="3A1986E3"/>
    <w:p w14:paraId="50130F34"/>
    <w:p w14:paraId="559F027D"/>
    <w:p w14:paraId="3D449BEF"/>
    <w:p w14:paraId="5ACA35BF"/>
    <w:p w14:paraId="0F721D6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阿里巴巴普惠体 B">
    <w:altName w:val="宋体"/>
    <w:panose1 w:val="00020600040101010101"/>
    <w:charset w:val="86"/>
    <w:family w:val="auto"/>
    <w:pitch w:val="default"/>
    <w:sig w:usb0="00000000" w:usb1="00000000"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8354A">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F18E10">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FFFFFF" w:themeColor="background1"/>
                              <w:spacing w:val="61"/>
                              <w:kern w:val="0"/>
                              <w:sz w:val="18"/>
                              <w:szCs w:val="18"/>
                              <w:u w:val="none"/>
                              <w:fitText w:val="2700" w:id="1452628505"/>
                              <w14:textFill>
                                <w14:solidFill>
                                  <w14:schemeClr w14:val="bg1"/>
                                </w14:solidFill>
                              </w14:textFill>
                            </w:rPr>
                            <w:t>www.tw-reagent.co</w:t>
                          </w:r>
                          <w:r>
                            <w:rPr>
                              <w:rStyle w:val="7"/>
                              <w:rFonts w:hint="eastAsia"/>
                              <w:b/>
                              <w:bCs/>
                              <w:color w:val="FFFFFF" w:themeColor="background1"/>
                              <w:spacing w:val="16"/>
                              <w:kern w:val="0"/>
                              <w:sz w:val="18"/>
                              <w:szCs w:val="18"/>
                              <w:u w:val="none"/>
                              <w:fitText w:val="2700" w:id="1452628505"/>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648637315"/>
                              <w:lang w:val="en-US" w:eastAsia="zh-CN"/>
                            </w:rPr>
                            <w:t xml:space="preserve"> </w:t>
                          </w:r>
                          <w:r>
                            <w:rPr>
                              <w:rFonts w:hint="eastAsia"/>
                              <w:b/>
                              <w:bCs/>
                              <w:color w:val="FFFF00"/>
                              <w:spacing w:val="248"/>
                              <w:kern w:val="0"/>
                              <w:sz w:val="18"/>
                              <w:szCs w:val="18"/>
                              <w:fitText w:val="2160" w:id="1648637315"/>
                              <w:lang w:val="en-US" w:eastAsia="zh-CN"/>
                            </w:rPr>
                            <w:t>-----</w:t>
                          </w:r>
                          <w:r>
                            <w:rPr>
                              <w:rFonts w:hint="eastAsia"/>
                              <w:b/>
                              <w:bCs/>
                              <w:color w:val="FFFF00"/>
                              <w:spacing w:val="3"/>
                              <w:kern w:val="0"/>
                              <w:sz w:val="18"/>
                              <w:szCs w:val="18"/>
                              <w:fitText w:val="2160" w:id="1648637315"/>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71F18E10">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FFFFFF" w:themeColor="background1"/>
                        <w:spacing w:val="61"/>
                        <w:kern w:val="0"/>
                        <w:sz w:val="18"/>
                        <w:szCs w:val="18"/>
                        <w:u w:val="none"/>
                        <w:fitText w:val="2700" w:id="1452628505"/>
                        <w14:textFill>
                          <w14:solidFill>
                            <w14:schemeClr w14:val="bg1"/>
                          </w14:solidFill>
                        </w14:textFill>
                      </w:rPr>
                      <w:t>www.tw-reagent.co</w:t>
                    </w:r>
                    <w:r>
                      <w:rPr>
                        <w:rStyle w:val="7"/>
                        <w:rFonts w:hint="eastAsia"/>
                        <w:b/>
                        <w:bCs/>
                        <w:color w:val="FFFFFF" w:themeColor="background1"/>
                        <w:spacing w:val="16"/>
                        <w:kern w:val="0"/>
                        <w:sz w:val="18"/>
                        <w:szCs w:val="18"/>
                        <w:u w:val="none"/>
                        <w:fitText w:val="2700" w:id="1452628505"/>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648637315"/>
                        <w:lang w:val="en-US" w:eastAsia="zh-CN"/>
                      </w:rPr>
                      <w:t xml:space="preserve"> </w:t>
                    </w:r>
                    <w:r>
                      <w:rPr>
                        <w:rFonts w:hint="eastAsia"/>
                        <w:b/>
                        <w:bCs/>
                        <w:color w:val="FFFF00"/>
                        <w:spacing w:val="248"/>
                        <w:kern w:val="0"/>
                        <w:sz w:val="18"/>
                        <w:szCs w:val="18"/>
                        <w:fitText w:val="2160" w:id="1648637315"/>
                        <w:lang w:val="en-US" w:eastAsia="zh-CN"/>
                      </w:rPr>
                      <w:t>-----</w:t>
                    </w:r>
                    <w:r>
                      <w:rPr>
                        <w:rFonts w:hint="eastAsia"/>
                        <w:b/>
                        <w:bCs/>
                        <w:color w:val="FFFF00"/>
                        <w:spacing w:val="3"/>
                        <w:kern w:val="0"/>
                        <w:sz w:val="18"/>
                        <w:szCs w:val="18"/>
                        <w:fitText w:val="2160" w:id="1648637315"/>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9BE26">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F0BCE">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EBF1D">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83F0BCE">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389EBF1D">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ADCF1"/>
    <w:multiLevelType w:val="singleLevel"/>
    <w:tmpl w:val="9C9ADCF1"/>
    <w:lvl w:ilvl="0" w:tentative="0">
      <w:start w:val="1"/>
      <w:numFmt w:val="decimal"/>
      <w:suff w:val="space"/>
      <w:lvlText w:val="%1."/>
      <w:lvlJc w:val="left"/>
      <w:rPr>
        <w:rFonts w:hint="default"/>
        <w:b/>
        <w:bCs/>
      </w:rPr>
    </w:lvl>
  </w:abstractNum>
  <w:abstractNum w:abstractNumId="1">
    <w:nsid w:val="14ED3B81"/>
    <w:multiLevelType w:val="singleLevel"/>
    <w:tmpl w:val="14ED3B81"/>
    <w:lvl w:ilvl="0" w:tentative="0">
      <w:start w:val="1"/>
      <w:numFmt w:val="decimal"/>
      <w:suff w:val="space"/>
      <w:lvlText w:val="%1."/>
      <w:lvlJc w:val="left"/>
      <w:rPr>
        <w:rFonts w:hint="default"/>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zODRiNTExMTgwZWM1M2MwM2M5MTMzZjRjOTI3ZDYifQ=="/>
  </w:docVars>
  <w:rsids>
    <w:rsidRoot w:val="52E846A1"/>
    <w:rsid w:val="52E84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2024-08-27T06:03:00Z</dcterms:created>
  <dc:creator>WPS_1668994016</dc:creator>
  <cp:lastModifiedBy>WPS_1668994016</cp:lastModifiedBy>
  <dcterms:modified xsi:type="dcterms:W3CDTF">2024-08-27T06:51:02Z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B98C47B30AD94CB6B7F1F5BB295AA48E_11</vt:lpwstr>
  </property>
</Properties>
</file>