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5316C">
      <w:pPr>
        <w:pStyle w:val="19"/>
        <w:spacing w:line="240" w:lineRule="auto"/>
        <w:jc w:val="center"/>
        <w:rPr>
          <w:rFonts w:hint="eastAsia" w:ascii="微软雅黑" w:hAnsi="微软雅黑" w:eastAsia="微软雅黑"/>
          <w:sz w:val="32"/>
          <w:szCs w:val="32"/>
        </w:rPr>
      </w:pP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drawing>
          <wp:inline distT="0" distB="0" distL="114300" distR="114300">
            <wp:extent cx="3943350" cy="962660"/>
            <wp:effectExtent l="0" t="0" r="0" b="0"/>
            <wp:docPr id="3" name="图片 3"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0"/>
                    <pic:cNvPicPr>
                      <a:picLocks noChangeAspect="1"/>
                    </pic:cNvPicPr>
                  </pic:nvPicPr>
                  <pic:blipFill>
                    <a:blip r:embed="rId8"/>
                    <a:stretch>
                      <a:fillRect/>
                    </a:stretch>
                  </pic:blipFill>
                  <pic:spPr>
                    <a:xfrm>
                      <a:off x="0" y="0"/>
                      <a:ext cx="3943350" cy="962660"/>
                    </a:xfrm>
                    <a:prstGeom prst="rect">
                      <a:avLst/>
                    </a:prstGeom>
                  </pic:spPr>
                </pic:pic>
              </a:graphicData>
            </a:graphic>
          </wp:inline>
        </w:drawing>
      </w: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br w:type="textWrapping"/>
      </w: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br w:type="textWrapping"/>
      </w:r>
      <w:r>
        <w:rPr>
          <w:rFonts w:hint="eastAsia" w:ascii="微软雅黑" w:hAnsi="微软雅黑" w:eastAsia="微软雅黑"/>
          <w:b/>
          <w:bCs/>
          <w:sz w:val="48"/>
          <w:szCs w:val="48"/>
        </w:rPr>
        <w:t>大鼠肌酸激酶同工酶MB</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rPr>
        <w:t>(CK-MB)</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rPr>
        <w:t>ELISA</w:t>
      </w:r>
      <w:r>
        <w:rPr>
          <w:rFonts w:hint="eastAsia" w:ascii="微软雅黑" w:hAnsi="微软雅黑" w:eastAsia="微软雅黑"/>
          <w:b/>
          <w:bCs/>
          <w:sz w:val="48"/>
          <w:szCs w:val="48"/>
        </w:rPr>
        <w:br w:type="textWrapping"/>
      </w:r>
      <w:r>
        <w:rPr>
          <w:rFonts w:hint="eastAsia" w:ascii="微软雅黑" w:hAnsi="微软雅黑" w:eastAsia="微软雅黑"/>
          <w:b/>
          <w:bCs/>
          <w:sz w:val="48"/>
          <w:szCs w:val="48"/>
        </w:rPr>
        <w:t>试剂盒</w:t>
      </w:r>
      <w:r>
        <w:rPr>
          <w:rFonts w:hint="eastAsia" w:ascii="微软雅黑" w:hAnsi="微软雅黑" w:eastAsia="微软雅黑"/>
          <w:b/>
          <w:bCs/>
          <w:sz w:val="48"/>
          <w:szCs w:val="48"/>
          <w:lang w:val="en-US" w:eastAsia="zh-CN"/>
        </w:rPr>
        <w:t>科研实验</w:t>
      </w:r>
      <w:r>
        <w:rPr>
          <w:rFonts w:hint="eastAsia" w:ascii="微软雅黑" w:hAnsi="微软雅黑" w:eastAsia="微软雅黑"/>
          <w:b/>
          <w:bCs/>
          <w:color w:val="auto"/>
          <w:sz w:val="48"/>
          <w:szCs w:val="48"/>
        </w:rPr>
        <w:t>说明书</w:t>
      </w:r>
      <w:r>
        <w:rPr>
          <w:rFonts w:hint="eastAsia" w:ascii="微软雅黑" w:hAnsi="微软雅黑" w:eastAsia="微软雅黑"/>
          <w:b/>
          <w:bCs/>
          <w:sz w:val="52"/>
          <w:szCs w:val="52"/>
        </w:rPr>
        <w:br w:type="textWrapping"/>
      </w:r>
    </w:p>
    <w:p w14:paraId="1AE5E536">
      <w:pPr>
        <w:pStyle w:val="21"/>
        <w:snapToGrid w:val="0"/>
        <w:spacing w:after="1720" w:line="360" w:lineRule="auto"/>
        <w:ind w:firstLine="1068" w:firstLineChars="300"/>
        <w:contextualSpacing/>
        <w:rPr>
          <w:rFonts w:hint="eastAsia" w:ascii="微软雅黑" w:hAnsi="微软雅黑" w:eastAsia="微软雅黑"/>
          <w:color w:val="000000" w:themeColor="text1"/>
          <w:sz w:val="32"/>
          <w:szCs w:val="32"/>
          <w14:textFill>
            <w14:solidFill>
              <w14:schemeClr w14:val="tx1"/>
            </w14:solidFill>
          </w14:textFill>
        </w:rPr>
      </w:pPr>
      <w:r>
        <w:rPr>
          <w:rFonts w:hint="eastAsia" w:ascii="微软雅黑" w:hAnsi="微软雅黑" w:eastAsia="微软雅黑"/>
          <w:spacing w:val="18"/>
          <w:kern w:val="0"/>
          <w:sz w:val="32"/>
          <w:szCs w:val="32"/>
          <w:fitText w:val="1280" w:id="-878882047"/>
        </w:rPr>
        <w:t>●货号</w:t>
      </w:r>
      <w:r>
        <w:rPr>
          <w:rFonts w:hint="eastAsia" w:ascii="微软雅黑" w:hAnsi="微软雅黑" w:eastAsia="微软雅黑"/>
          <w:spacing w:val="1"/>
          <w:kern w:val="0"/>
          <w:sz w:val="32"/>
          <w:szCs w:val="32"/>
          <w:fitText w:val="1280" w:id="-878882047"/>
        </w:rPr>
        <w:t>：</w:t>
      </w:r>
      <w:r>
        <w:rPr>
          <w:rFonts w:hint="eastAsia" w:ascii="微软雅黑" w:hAnsi="微软雅黑" w:eastAsia="微软雅黑"/>
          <w:sz w:val="32"/>
          <w:szCs w:val="32"/>
        </w:rPr>
        <w:t xml:space="preserve"> </w:t>
      </w:r>
      <w:bookmarkStart w:id="0" w:name="OLE_LINK3"/>
      <w:r>
        <w:rPr>
          <w:rFonts w:hint="eastAsia" w:ascii="微软雅黑" w:hAnsi="微软雅黑" w:eastAsia="微软雅黑"/>
          <w:color w:val="000000" w:themeColor="text1"/>
          <w:sz w:val="32"/>
          <w:szCs w:val="32"/>
          <w14:textFill>
            <w14:solidFill>
              <w14:schemeClr w14:val="tx1"/>
            </w14:solidFill>
          </w14:textFill>
        </w:rPr>
        <w:t>TW-E8339</w:t>
      </w:r>
      <w:r>
        <w:rPr>
          <w:rFonts w:hint="eastAsia" w:ascii="微软雅黑" w:hAnsi="微软雅黑" w:eastAsia="微软雅黑"/>
          <w:color w:val="FF0000"/>
          <w:sz w:val="32"/>
          <w:szCs w:val="32"/>
        </w:rPr>
        <w:t xml:space="preserve"> </w:t>
      </w:r>
      <w:bookmarkEnd w:id="0"/>
      <w:r>
        <w:rPr>
          <w:rFonts w:hint="eastAsia" w:ascii="微软雅黑" w:hAnsi="微软雅黑" w:eastAsia="微软雅黑"/>
          <w:sz w:val="32"/>
          <w:szCs w:val="32"/>
        </w:rPr>
        <w:t xml:space="preserve">       </w:t>
      </w:r>
      <w:r>
        <w:rPr>
          <w:rFonts w:hint="eastAsia" w:ascii="微软雅黑" w:hAnsi="微软雅黑" w:eastAsia="微软雅黑"/>
          <w:spacing w:val="11"/>
          <w:kern w:val="0"/>
          <w:sz w:val="32"/>
          <w:szCs w:val="32"/>
          <w:fitText w:val="1920" w:id="-878881788"/>
        </w:rPr>
        <w:t>●检测范围</w:t>
      </w:r>
      <w:r>
        <w:rPr>
          <w:rFonts w:hint="eastAsia" w:ascii="微软雅黑" w:hAnsi="微软雅黑" w:eastAsia="微软雅黑"/>
          <w:spacing w:val="0"/>
          <w:kern w:val="0"/>
          <w:sz w:val="32"/>
          <w:szCs w:val="32"/>
          <w:fitText w:val="1920" w:id="-878881788"/>
        </w:rPr>
        <w:t>：</w:t>
      </w:r>
      <w:r>
        <w:rPr>
          <w:rFonts w:hint="eastAsia" w:ascii="微软雅黑" w:hAnsi="微软雅黑" w:eastAsia="微软雅黑"/>
          <w:sz w:val="32"/>
          <w:szCs w:val="32"/>
        </w:rPr>
        <w:t xml:space="preserve"> </w:t>
      </w:r>
      <w:r>
        <w:rPr>
          <w:rFonts w:hint="eastAsia" w:ascii="微软雅黑" w:hAnsi="微软雅黑" w:eastAsia="微软雅黑"/>
          <w:color w:val="000000" w:themeColor="text1"/>
          <w:sz w:val="32"/>
          <w:szCs w:val="32"/>
          <w14:textFill>
            <w14:solidFill>
              <w14:schemeClr w14:val="tx1"/>
            </w14:solidFill>
          </w14:textFill>
        </w:rPr>
        <w:t>0.313</w:t>
      </w:r>
      <w:r>
        <w:rPr>
          <w:rFonts w:hint="eastAsia" w:ascii="微软雅黑" w:hAnsi="微软雅黑" w:eastAsia="微软雅黑"/>
          <w:color w:val="000000" w:themeColor="text1"/>
          <w:sz w:val="32"/>
          <w:szCs w:val="32"/>
          <w:lang w:val="en-US" w:eastAsia="zh-CN"/>
          <w14:textFill>
            <w14:solidFill>
              <w14:schemeClr w14:val="tx1"/>
            </w14:solidFill>
          </w14:textFill>
        </w:rPr>
        <w:t xml:space="preserve"> </w:t>
      </w:r>
      <w:r>
        <w:rPr>
          <w:rFonts w:hint="eastAsia" w:ascii="微软雅黑" w:hAnsi="微软雅黑" w:eastAsia="微软雅黑"/>
          <w:color w:val="000000" w:themeColor="text1"/>
          <w:sz w:val="32"/>
          <w:szCs w:val="32"/>
          <w14:textFill>
            <w14:solidFill>
              <w14:schemeClr w14:val="tx1"/>
            </w14:solidFill>
          </w14:textFill>
        </w:rPr>
        <w:t>~</w:t>
      </w:r>
      <w:r>
        <w:rPr>
          <w:rFonts w:hint="eastAsia" w:ascii="微软雅黑" w:hAnsi="微软雅黑" w:eastAsia="微软雅黑"/>
          <w:color w:val="000000" w:themeColor="text1"/>
          <w:sz w:val="32"/>
          <w:szCs w:val="32"/>
          <w:lang w:val="en-US" w:eastAsia="zh-CN"/>
          <w14:textFill>
            <w14:solidFill>
              <w14:schemeClr w14:val="tx1"/>
            </w14:solidFill>
          </w14:textFill>
        </w:rPr>
        <w:t xml:space="preserve"> </w:t>
      </w:r>
      <w:r>
        <w:rPr>
          <w:rFonts w:hint="eastAsia" w:ascii="微软雅黑" w:hAnsi="微软雅黑" w:eastAsia="微软雅黑"/>
          <w:color w:val="000000" w:themeColor="text1"/>
          <w:sz w:val="32"/>
          <w:szCs w:val="32"/>
          <w14:textFill>
            <w14:solidFill>
              <w14:schemeClr w14:val="tx1"/>
            </w14:solidFill>
          </w14:textFill>
        </w:rPr>
        <w:t>20ng/mL</w:t>
      </w:r>
    </w:p>
    <w:p w14:paraId="00970E74">
      <w:pPr>
        <w:pStyle w:val="21"/>
        <w:snapToGrid w:val="0"/>
        <w:spacing w:after="1720" w:line="360" w:lineRule="auto"/>
        <w:ind w:firstLine="1068" w:firstLineChars="300"/>
        <w:contextualSpacing/>
        <w:rPr>
          <w:rFonts w:hint="eastAsia" w:ascii="微软雅黑" w:hAnsi="微软雅黑" w:eastAsia="微软雅黑"/>
          <w:sz w:val="32"/>
          <w:szCs w:val="32"/>
        </w:rPr>
      </w:pPr>
      <w:r>
        <w:rPr>
          <w:rFonts w:hint="eastAsia" w:ascii="微软雅黑" w:hAnsi="微软雅黑" w:eastAsia="微软雅黑"/>
          <w:spacing w:val="18"/>
          <w:kern w:val="0"/>
          <w:sz w:val="32"/>
          <w:szCs w:val="32"/>
          <w:fitText w:val="1280" w:id="-878881792"/>
        </w:rPr>
        <w:t>●规格</w:t>
      </w:r>
      <w:r>
        <w:rPr>
          <w:rFonts w:hint="eastAsia" w:ascii="微软雅黑" w:hAnsi="微软雅黑" w:eastAsia="微软雅黑"/>
          <w:spacing w:val="1"/>
          <w:kern w:val="0"/>
          <w:sz w:val="32"/>
          <w:szCs w:val="32"/>
          <w:fitText w:val="1280" w:id="-878881792"/>
        </w:rPr>
        <w:t>：</w:t>
      </w:r>
      <w:r>
        <w:rPr>
          <w:rFonts w:hint="eastAsia" w:ascii="微软雅黑" w:hAnsi="微软雅黑" w:eastAsia="微软雅黑"/>
          <w:sz w:val="32"/>
          <w:szCs w:val="32"/>
        </w:rPr>
        <w:t xml:space="preserve"> 96T/48T          </w:t>
      </w:r>
      <w:r>
        <w:rPr>
          <w:rFonts w:hint="eastAsia" w:ascii="微软雅黑" w:hAnsi="微软雅黑" w:eastAsia="微软雅黑"/>
          <w:spacing w:val="11"/>
          <w:kern w:val="0"/>
          <w:sz w:val="32"/>
          <w:szCs w:val="32"/>
          <w:fitText w:val="1920" w:id="-878881787"/>
        </w:rPr>
        <w:t>●保存温度</w:t>
      </w:r>
      <w:r>
        <w:rPr>
          <w:rFonts w:hint="eastAsia" w:ascii="微软雅黑" w:hAnsi="微软雅黑" w:eastAsia="微软雅黑"/>
          <w:spacing w:val="0"/>
          <w:kern w:val="0"/>
          <w:sz w:val="32"/>
          <w:szCs w:val="32"/>
          <w:fitText w:val="1920" w:id="-878881787"/>
        </w:rPr>
        <w:t>：</w:t>
      </w:r>
      <w:r>
        <w:rPr>
          <w:rFonts w:hint="eastAsia" w:ascii="微软雅黑" w:hAnsi="微软雅黑" w:eastAsia="微软雅黑"/>
          <w:sz w:val="32"/>
          <w:szCs w:val="32"/>
        </w:rPr>
        <w:t xml:space="preserve"> 2-8℃</w:t>
      </w:r>
    </w:p>
    <w:p w14:paraId="03ABAFEA">
      <w:pPr>
        <w:pStyle w:val="21"/>
        <w:snapToGrid w:val="0"/>
        <w:spacing w:after="1720" w:line="360" w:lineRule="auto"/>
        <w:ind w:firstLine="1068" w:firstLineChars="300"/>
        <w:contextualSpacing/>
        <w:rPr>
          <w:rFonts w:eastAsia="微软雅黑"/>
          <w:color w:val="E46C0A" w:themeColor="accent6" w:themeShade="BF"/>
        </w:rPr>
      </w:pPr>
      <w:r>
        <w:rPr>
          <w:rFonts w:hint="eastAsia" w:ascii="微软雅黑" w:hAnsi="微软雅黑" w:eastAsia="微软雅黑"/>
          <w:spacing w:val="18"/>
          <w:kern w:val="0"/>
          <w:sz w:val="32"/>
          <w:szCs w:val="32"/>
          <w:fitText w:val="1280" w:id="-878881791"/>
        </w:rPr>
        <w:t>●种属</w:t>
      </w:r>
      <w:r>
        <w:rPr>
          <w:rFonts w:hint="eastAsia" w:ascii="微软雅黑" w:hAnsi="微软雅黑" w:eastAsia="微软雅黑"/>
          <w:spacing w:val="1"/>
          <w:kern w:val="0"/>
          <w:sz w:val="32"/>
          <w:szCs w:val="32"/>
          <w:fitText w:val="1280" w:id="-878881791"/>
        </w:rPr>
        <w:t>：</w:t>
      </w:r>
      <w:r>
        <w:rPr>
          <w:rFonts w:hint="eastAsia" w:ascii="微软雅黑" w:hAnsi="微软雅黑" w:eastAsia="微软雅黑"/>
          <w:sz w:val="32"/>
          <w:szCs w:val="32"/>
        </w:rPr>
        <w:t xml:space="preserve"> </w:t>
      </w:r>
      <w:r>
        <w:rPr>
          <w:rFonts w:hint="eastAsia" w:ascii="微软雅黑" w:hAnsi="微软雅黑" w:eastAsia="微软雅黑"/>
          <w:color w:val="000000" w:themeColor="text1"/>
          <w:sz w:val="32"/>
          <w:szCs w:val="32"/>
          <w:lang w:eastAsia="zh-CN"/>
          <w14:textFill>
            <w14:solidFill>
              <w14:schemeClr w14:val="tx1"/>
            </w14:solidFill>
          </w14:textFill>
        </w:rPr>
        <w:t>大鼠</w:t>
      </w:r>
      <w:r>
        <w:rPr>
          <w:rFonts w:hint="eastAsia" w:ascii="微软雅黑" w:hAnsi="微软雅黑" w:eastAsia="微软雅黑"/>
          <w:sz w:val="32"/>
          <w:szCs w:val="32"/>
        </w:rPr>
        <w:t xml:space="preserve">              </w:t>
      </w:r>
      <w:bookmarkStart w:id="20" w:name="_GoBack"/>
      <w:bookmarkEnd w:id="20"/>
      <w:r>
        <w:rPr>
          <w:rFonts w:hint="eastAsia" w:ascii="微软雅黑" w:hAnsi="微软雅黑" w:eastAsia="微软雅黑"/>
          <w:spacing w:val="53"/>
          <w:kern w:val="0"/>
          <w:sz w:val="32"/>
          <w:szCs w:val="32"/>
          <w:fitText w:val="1920" w:id="-878881786"/>
        </w:rPr>
        <w:t>●有效期</w:t>
      </w:r>
      <w:r>
        <w:rPr>
          <w:rFonts w:hint="eastAsia" w:ascii="微软雅黑" w:hAnsi="微软雅黑" w:eastAsia="微软雅黑"/>
          <w:spacing w:val="3"/>
          <w:kern w:val="0"/>
          <w:sz w:val="32"/>
          <w:szCs w:val="32"/>
          <w:fitText w:val="1920" w:id="-878881786"/>
        </w:rPr>
        <w:t>：</w:t>
      </w:r>
      <w:r>
        <w:rPr>
          <w:rFonts w:hint="eastAsia" w:ascii="微软雅黑" w:hAnsi="微软雅黑" w:eastAsia="微软雅黑"/>
          <w:sz w:val="32"/>
          <w:szCs w:val="32"/>
        </w:rPr>
        <w:t xml:space="preserve"> 6个月</w:t>
      </w:r>
      <w:r>
        <w:rPr>
          <w:rFonts w:hint="eastAsia" w:ascii="微软雅黑" w:hAnsi="微软雅黑" w:eastAsia="微软雅黑"/>
          <w:sz w:val="32"/>
          <w:szCs w:val="32"/>
        </w:rPr>
        <w:br w:type="textWrapping"/>
      </w:r>
      <w:r>
        <w:rPr>
          <w:rFonts w:hint="eastAsia" w:ascii="微软雅黑" w:hAnsi="微软雅黑" w:eastAsia="微软雅黑"/>
          <w:sz w:val="32"/>
          <w:szCs w:val="32"/>
        </w:rPr>
        <w:br w:type="textWrapping"/>
      </w:r>
      <w:r>
        <w:rPr>
          <w:rFonts w:hint="eastAsia" w:ascii="微软雅黑" w:hAnsi="微软雅黑" w:eastAsia="微软雅黑"/>
          <w:sz w:val="30"/>
          <w:szCs w:val="30"/>
        </w:rPr>
        <w:br w:type="textWrapping"/>
      </w:r>
      <w:r>
        <w:rPr>
          <w:rFonts w:hint="eastAsia" w:ascii="微软雅黑" w:hAnsi="微软雅黑" w:eastAsia="微软雅黑" w:cs="Times New Roman"/>
          <w:color w:val="auto"/>
          <w:sz w:val="30"/>
          <w:szCs w:val="30"/>
        </w:rPr>
        <w:t>产品仅供教研使用，</w:t>
      </w:r>
      <w:r>
        <w:rPr>
          <w:rFonts w:hint="eastAsia" w:ascii="微软雅黑" w:hAnsi="微软雅黑" w:eastAsia="微软雅黑"/>
          <w:sz w:val="30"/>
          <w:szCs w:val="30"/>
        </w:rPr>
        <w:t>用于定量检测细胞培养上清、血清、血浆中</w:t>
      </w:r>
      <w:r>
        <w:rPr>
          <w:rFonts w:hint="eastAsia" w:ascii="微软雅黑" w:hAnsi="微软雅黑" w:eastAsia="微软雅黑"/>
          <w:color w:val="000000" w:themeColor="text1"/>
          <w:sz w:val="30"/>
          <w:szCs w:val="30"/>
          <w:lang w:eastAsia="zh-CN"/>
          <w14:textFill>
            <w14:solidFill>
              <w14:schemeClr w14:val="tx1"/>
            </w14:solidFill>
          </w14:textFill>
        </w:rPr>
        <w:t>大鼠CK-MB</w:t>
      </w:r>
      <w:r>
        <w:rPr>
          <w:rFonts w:hint="eastAsia" w:ascii="微软雅黑" w:hAnsi="微软雅黑" w:eastAsia="微软雅黑"/>
          <w:sz w:val="30"/>
          <w:szCs w:val="30"/>
        </w:rPr>
        <w:t>。</w:t>
      </w:r>
      <w:r>
        <w:rPr>
          <w:rFonts w:hint="eastAsia" w:eastAsia="微软雅黑"/>
          <w:sz w:val="30"/>
          <w:szCs w:val="30"/>
        </w:rPr>
        <w:t xml:space="preserve">                                  </w:t>
      </w:r>
      <w:r>
        <w:rPr>
          <w:rFonts w:hint="eastAsia" w:ascii="微软雅黑" w:hAnsi="微软雅黑" w:eastAsia="微软雅黑"/>
          <w:b w:val="0"/>
          <w:bCs w:val="0"/>
          <w:color w:val="auto"/>
          <w:sz w:val="30"/>
          <w:szCs w:val="30"/>
        </w:rPr>
        <w:t>使用本产品之前，必须完整阅读本说明书。仅供科研使用，不能于临床诊断或治疗。</w:t>
      </w:r>
    </w:p>
    <w:p w14:paraId="4354FB74">
      <w:pPr>
        <w:pStyle w:val="24"/>
        <w:rPr>
          <w:rFonts w:hint="eastAsia" w:ascii="微软雅黑" w:hAnsi="微软雅黑" w:eastAsia="微软雅黑"/>
          <w:b/>
          <w:bCs/>
          <w:color w:val="00B050"/>
          <w:kern w:val="2"/>
          <w:sz w:val="32"/>
          <w:szCs w:val="32"/>
        </w:rPr>
      </w:pPr>
      <w:bookmarkStart w:id="1" w:name="_Toc164420454"/>
      <w:r>
        <w:rPr>
          <w:rFonts w:hint="eastAsia" w:ascii="微软雅黑" w:hAnsi="微软雅黑" w:eastAsia="微软雅黑"/>
          <w:b/>
          <w:bCs/>
          <w:color w:val="558ED5" w:themeColor="text2" w:themeTint="99"/>
          <w:kern w:val="2"/>
          <w:sz w:val="32"/>
          <w:szCs w:val="32"/>
          <w14:textFill>
            <w14:solidFill>
              <w14:schemeClr w14:val="tx2">
                <w14:lumMod w14:val="60000"/>
                <w14:lumOff w14:val="40000"/>
              </w14:schemeClr>
            </w14:solidFill>
          </w14:textFill>
        </w:rPr>
        <w:br w:type="textWrapping"/>
      </w:r>
      <w:r>
        <w:rPr>
          <w:rFonts w:hint="eastAsia" w:ascii="微软雅黑" w:hAnsi="微软雅黑" w:eastAsia="微软雅黑"/>
          <w:b/>
          <w:bCs/>
          <w:color w:val="auto"/>
          <w:kern w:val="2"/>
          <w:sz w:val="32"/>
          <w:szCs w:val="32"/>
          <w:u w:val="single"/>
        </w:rPr>
        <w:t>简介</w:t>
      </w:r>
      <w:bookmarkEnd w:id="1"/>
      <w:r>
        <w:rPr>
          <w:rFonts w:hint="eastAsia"/>
          <w:color w:val="E46C0A" w:themeColor="accent6" w:themeShade="BF"/>
          <w:sz w:val="32"/>
          <w:szCs w:val="32"/>
        </w:rPr>
        <w:t xml:space="preserve"> </w:t>
      </w:r>
    </w:p>
    <w:p w14:paraId="2E3F7911">
      <w:pPr>
        <w:pStyle w:val="10"/>
        <w:rPr>
          <w:rFonts w:hint="eastAsia"/>
          <w:color w:val="558ED5" w:themeColor="text2" w:themeTint="99"/>
          <w:sz w:val="30"/>
          <w:szCs w:val="30"/>
          <w14:textFill>
            <w14:solidFill>
              <w14:schemeClr w14:val="tx2">
                <w14:lumMod w14:val="60000"/>
                <w14:lumOff w14:val="40000"/>
              </w14:schemeClr>
            </w14:solidFill>
          </w14:textFill>
        </w:rPr>
      </w:pPr>
      <w:bookmarkStart w:id="2" w:name="_Toc164420455"/>
      <w:r>
        <w:rPr>
          <w:rFonts w:hint="eastAsia" w:cs="Times New Roman"/>
          <w:b w:val="0"/>
          <w:bCs w:val="0"/>
          <w:color w:val="000000" w:themeColor="text1"/>
          <w:sz w:val="28"/>
          <w:szCs w:val="28"/>
          <w:lang w:val="en-US" w:eastAsia="zh-CN"/>
          <w14:textFill>
            <w14:solidFill>
              <w14:schemeClr w14:val="tx1"/>
            </w14:solidFill>
          </w14:textFill>
        </w:rPr>
        <w:t>肌酸激酶同工酶MB（CK-MB）是肌酸激酶（CK）的一种同工酶，主要存在于心肌组织中，它由脑型亚单位（B）和肌型亚单位（M）组成的二聚体，是心肌细胞内的重要酶类，正常情况下，CK-MB在血清中含量较低，但心肌损伤时，如心肌梗死，CK-MB会迅速释放入血，成为心肌损伤的敏感指标。</w:t>
      </w:r>
      <w:r>
        <w:rPr>
          <w:rFonts w:hint="eastAsia" w:cs="Times New Roman"/>
          <w:color w:val="auto"/>
          <w:sz w:val="28"/>
          <w:szCs w:val="28"/>
        </w:rPr>
        <w:br w:type="textWrapping"/>
      </w:r>
      <w:r>
        <w:rPr>
          <w:rFonts w:hint="eastAsia"/>
          <w:color w:val="000000"/>
          <w:sz w:val="30"/>
          <w:szCs w:val="30"/>
          <w14:textFill>
            <w14:solidFill>
              <w14:srgbClr w14:val="000000">
                <w14:lumMod w14:val="60000"/>
                <w14:lumOff w14:val="40000"/>
              </w14:srgbClr>
            </w14:solidFill>
          </w14:textFill>
        </w:rPr>
        <w:br w:type="textWrapping"/>
      </w:r>
      <w:r>
        <w:rPr>
          <w:rFonts w:hint="eastAsia"/>
          <w:color w:val="auto"/>
          <w:sz w:val="32"/>
          <w:szCs w:val="32"/>
          <w:u w:val="single"/>
        </w:rPr>
        <w:t>检测原理</w:t>
      </w:r>
      <w:bookmarkEnd w:id="2"/>
    </w:p>
    <w:p w14:paraId="5414588B">
      <w:pPr>
        <w:pStyle w:val="22"/>
        <w:rPr>
          <w:rFonts w:hint="eastAsia" w:ascii="微软雅黑" w:hAnsi="微软雅黑" w:eastAsia="微软雅黑" w:cs="微软雅黑"/>
          <w:color w:val="000000" w:themeColor="text1"/>
          <w14:textFill>
            <w14:solidFill>
              <w14:schemeClr w14:val="tx1"/>
            </w14:solidFill>
          </w14:textFill>
        </w:rPr>
      </w:pPr>
      <w:r>
        <w:rPr>
          <w:rFonts w:hint="eastAsia" w:ascii="微软雅黑" w:hAnsi="微软雅黑" w:eastAsia="微软雅黑" w:cs="微软雅黑"/>
          <w:color w:val="000000" w:themeColor="text1"/>
          <w14:textFill>
            <w14:solidFill>
              <w14:schemeClr w14:val="tx1"/>
            </w14:solidFill>
          </w14:textFill>
        </w:rPr>
        <w:t>本试剂盒采用双抗体夹心法ELISA技术:将捕获抗体包被于酶标板上，捕获样品及标准品中的待测物</w:t>
      </w:r>
      <w:r>
        <w:rPr>
          <w:rFonts w:hint="eastAsia" w:ascii="微软雅黑" w:hAnsi="微软雅黑" w:eastAsia="微软雅黑" w:cs="微软雅黑"/>
          <w:color w:val="000000" w:themeColor="text1"/>
          <w:lang w:eastAsia="zh-CN"/>
          <w14:textFill>
            <w14:solidFill>
              <w14:schemeClr w14:val="tx1"/>
            </w14:solidFill>
          </w14:textFill>
        </w:rPr>
        <w:t>CK-MB</w:t>
      </w:r>
      <w:r>
        <w:rPr>
          <w:rFonts w:hint="eastAsia" w:ascii="微软雅黑" w:hAnsi="微软雅黑" w:eastAsia="微软雅黑" w:cs="微软雅黑"/>
          <w:color w:val="000000" w:themeColor="text1"/>
          <w14:textFill>
            <w14:solidFill>
              <w14:schemeClr w14:val="tx1"/>
            </w14:solidFill>
          </w14:textFill>
        </w:rPr>
        <w:t>，清洗后，再加入生物素标记的检测抗体进行孵育后清洗，形成“捕获抗体-抗原-检测抗体”免疫复合物，随后加入链霉亲和素偶联的辣根过氧化物酶进行孵育，待孵育结束后清洗，接着加入TMB显色后，若样本中有待测物则显蓝色，加入终止液停止反应。检测过程中游离的成分均被洗去，用酶标仪在450 nm处测OD值，颜色的深浅和样品中的待测物的含量呈正比，通过绘制标准曲线计算出样本中</w:t>
      </w:r>
      <w:r>
        <w:rPr>
          <w:rFonts w:hint="eastAsia" w:ascii="微软雅黑" w:hAnsi="微软雅黑" w:eastAsia="微软雅黑" w:cs="微软雅黑"/>
          <w:color w:val="000000" w:themeColor="text1"/>
          <w:lang w:eastAsia="zh-CN"/>
          <w14:textFill>
            <w14:solidFill>
              <w14:schemeClr w14:val="tx1"/>
            </w14:solidFill>
          </w14:textFill>
        </w:rPr>
        <w:t>CK-MB</w:t>
      </w:r>
      <w:r>
        <w:rPr>
          <w:rFonts w:hint="eastAsia" w:ascii="微软雅黑" w:hAnsi="微软雅黑" w:eastAsia="微软雅黑" w:cs="微软雅黑"/>
          <w:color w:val="000000" w:themeColor="text1"/>
          <w14:textFill>
            <w14:solidFill>
              <w14:schemeClr w14:val="tx1"/>
            </w14:solidFill>
          </w14:textFill>
        </w:rPr>
        <w:t>的浓度。</w:t>
      </w:r>
      <w:bookmarkStart w:id="3" w:name="_Toc164420456"/>
    </w:p>
    <w:p w14:paraId="2B959E65">
      <w:pPr>
        <w:pStyle w:val="10"/>
        <w:rPr>
          <w:rFonts w:hint="eastAsia"/>
          <w:color w:val="auto"/>
          <w:u w:val="single"/>
        </w:rPr>
      </w:pPr>
      <w:r>
        <w:rPr>
          <w:rFonts w:hint="eastAsia"/>
          <w:color w:val="auto"/>
          <w:u w:val="single"/>
        </w:rPr>
        <w:t>检测实验的局限性</w:t>
      </w:r>
      <w:bookmarkEnd w:id="3"/>
    </w:p>
    <w:p w14:paraId="25EA50A0">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本试剂盒仅供科研使用，不能用于临床诊断或治疗。</w:t>
      </w:r>
    </w:p>
    <w:p w14:paraId="2923CBFD">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试剂盒的使用期限不得超过试剂盒标签上的有效期。不要将试剂与其他批次或来源的试剂混合使用或替换使用。</w:t>
      </w:r>
    </w:p>
    <w:p w14:paraId="5D5575C9">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如果样品产生的值高于最高标准，则用测定稀释剂进一步稀释样品，并重复测定。稀释剂、实验员、移液技术、洗涤技术、培养时间或温度以及试剂盒使用年限的任何变化都可能导致结果变化。</w:t>
      </w:r>
    </w:p>
    <w:p w14:paraId="329487CC">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样本采集、处理和存储的变化可能会导致样本值的差异。</w:t>
      </w:r>
    </w:p>
    <w:p w14:paraId="072A668B">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本试剂盒实验设计消除了不同生物样品中可能潜在的干扰因素的影响，但并不能涵盖所有潜在影响因素。不能排除存在其他干扰的可能性。</w:t>
      </w:r>
      <w:bookmarkStart w:id="4" w:name="_Toc164420457"/>
    </w:p>
    <w:p w14:paraId="00AC9647">
      <w:pPr>
        <w:pStyle w:val="10"/>
        <w:rPr>
          <w:rFonts w:hint="eastAsia"/>
          <w:color w:val="E46C0A" w:themeColor="accent6" w:themeShade="BF"/>
        </w:rPr>
      </w:pPr>
      <w:r>
        <w:rPr>
          <w:rFonts w:hint="eastAsia"/>
          <w:color w:val="auto"/>
          <w:u w:val="single"/>
        </w:rPr>
        <w:t>操作要点</w:t>
      </w:r>
      <w:bookmarkEnd w:id="4"/>
      <w:r>
        <w:rPr>
          <w:rFonts w:hint="eastAsia"/>
          <w:color w:val="auto"/>
          <w:u w:val="single"/>
        </w:rPr>
        <w:t>及注意事项</w:t>
      </w:r>
      <w:r>
        <w:rPr>
          <w:color w:val="E46C0A" w:themeColor="accent6" w:themeShade="BF"/>
        </w:rPr>
        <w:t xml:space="preserve"> </w:t>
      </w:r>
    </w:p>
    <w:p w14:paraId="780DC29C">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混合蛋白质溶液时，应始终避免起泡。为了避免交叉污染，在添加每个标准品、样品和试剂时应更换移液器枪头。此外，每种试剂应单独使用容器。</w:t>
      </w:r>
    </w:p>
    <w:p w14:paraId="42EFC9F1">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确保试剂不间断地添加到板孔中。为了确保准确的结果，在孵育步骤中需要粘合好封板膜。</w:t>
      </w:r>
    </w:p>
    <w:p w14:paraId="0422FDE4">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当使用自动洗板机时，在加入洗涤缓冲液后加入</w:t>
      </w:r>
      <w:r>
        <w:rPr>
          <w:rFonts w:ascii="微软雅黑" w:hAnsi="微软雅黑" w:eastAsia="微软雅黑"/>
          <w:color w:val="000000"/>
          <w:sz w:val="28"/>
          <w:szCs w:val="28"/>
        </w:rPr>
        <w:t>30</w:t>
      </w:r>
      <w:r>
        <w:rPr>
          <w:rFonts w:hint="eastAsia" w:ascii="微软雅黑" w:hAnsi="微软雅黑" w:eastAsia="微软雅黑"/>
          <w:color w:val="000000"/>
          <w:sz w:val="28"/>
          <w:szCs w:val="28"/>
        </w:rPr>
        <w:t>秒的浸泡期，或者在洗涤步骤之间将板旋转</w:t>
      </w:r>
      <w:r>
        <w:rPr>
          <w:rFonts w:ascii="微软雅黑" w:hAnsi="微软雅黑" w:eastAsia="微软雅黑"/>
          <w:color w:val="000000"/>
          <w:sz w:val="28"/>
          <w:szCs w:val="28"/>
        </w:rPr>
        <w:t>180</w:t>
      </w:r>
      <w:r>
        <w:rPr>
          <w:rFonts w:hint="eastAsia" w:ascii="微软雅黑" w:hAnsi="微软雅黑" w:eastAsia="微软雅黑"/>
          <w:color w:val="000000"/>
          <w:sz w:val="28"/>
          <w:szCs w:val="28"/>
        </w:rPr>
        <w:t>度，可以提高测定精度。</w:t>
      </w:r>
    </w:p>
    <w:p w14:paraId="4D72D76A">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显色剂应保持无色，直到添加到板中。确保显色剂不受光线照射。显色剂应从无色变为蓝色。</w:t>
      </w:r>
    </w:p>
    <w:p w14:paraId="49BED134">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应按照与显色剂相同的顺序将终止液添加到板中。加入终止液后，孔中形成的颜色将从蓝色变为黄色。绿色的孔表示终止液未与基质溶液充分混合。</w:t>
      </w:r>
      <w:bookmarkStart w:id="5" w:name="_Toc164420458"/>
    </w:p>
    <w:p w14:paraId="386C8D9C">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此试剂盒提供的终止液为稀硫酸溶液，具有一定腐蚀性，应谨慎操作。</w:t>
      </w:r>
    </w:p>
    <w:p w14:paraId="37816BB8">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该试剂盒中的某些成分含有防腐剂，可能会引起皮肤过敏反应，应佩带口罩避免吸入薄雾。</w:t>
      </w:r>
    </w:p>
    <w:p w14:paraId="7B0E47B5">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显色剂</w:t>
      </w:r>
      <w:r>
        <w:rPr>
          <w:rFonts w:ascii="微软雅黑" w:hAnsi="微软雅黑" w:eastAsia="微软雅黑"/>
          <w:color w:val="000000"/>
          <w:sz w:val="28"/>
          <w:szCs w:val="28"/>
        </w:rPr>
        <w:t>B</w:t>
      </w:r>
      <w:r>
        <w:rPr>
          <w:rFonts w:hint="eastAsia" w:ascii="微软雅黑" w:hAnsi="微软雅黑" w:eastAsia="微软雅黑"/>
          <w:color w:val="000000"/>
          <w:sz w:val="28"/>
          <w:szCs w:val="28"/>
        </w:rPr>
        <w:t>可能会引起皮肤、眼睛和呼吸道刺激，应佩带口罩避免吸入薄雾。</w:t>
      </w:r>
    </w:p>
    <w:p w14:paraId="6DE1F119">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佩戴防护手套、防护服、眼睛和面部防护用品。处理后彻底洗手。</w:t>
      </w:r>
    </w:p>
    <w:p w14:paraId="0FEB4026">
      <w:pPr>
        <w:pStyle w:val="10"/>
        <w:rPr>
          <w:rFonts w:hint="eastAsia"/>
          <w:color w:val="auto"/>
          <w:u w:val="single"/>
        </w:rPr>
      </w:pPr>
      <w:r>
        <w:rPr>
          <w:rFonts w:hint="eastAsia"/>
          <w:color w:val="auto"/>
          <w:u w:val="single"/>
        </w:rPr>
        <w:t>试剂盒组成</w:t>
      </w:r>
      <w:bookmarkEnd w:id="5"/>
      <w:r>
        <w:rPr>
          <w:rFonts w:hint="eastAsia"/>
          <w:color w:val="auto"/>
          <w:u w:val="single"/>
        </w:rPr>
        <w:t>及储存条件</w:t>
      </w:r>
    </w:p>
    <w:p w14:paraId="4F08B337">
      <w:pPr>
        <w:rPr>
          <w:color w:val="E46C0A" w:themeColor="accent6" w:themeShade="BF"/>
        </w:rPr>
      </w:pPr>
    </w:p>
    <w:tbl>
      <w:tblPr>
        <w:tblStyle w:val="11"/>
        <w:tblW w:w="10773" w:type="dxa"/>
        <w:jc w:val="center"/>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Layout w:type="autofit"/>
        <w:tblCellMar>
          <w:top w:w="15" w:type="dxa"/>
          <w:left w:w="15" w:type="dxa"/>
          <w:bottom w:w="15" w:type="dxa"/>
          <w:right w:w="15" w:type="dxa"/>
        </w:tblCellMar>
      </w:tblPr>
      <w:tblGrid>
        <w:gridCol w:w="2567"/>
        <w:gridCol w:w="2410"/>
        <w:gridCol w:w="2409"/>
        <w:gridCol w:w="3387"/>
      </w:tblGrid>
      <w:tr w14:paraId="1AFA7543">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541" w:hRule="atLeast"/>
          <w:jc w:val="center"/>
        </w:trPr>
        <w:tc>
          <w:tcPr>
            <w:tcW w:w="2567" w:type="dxa"/>
            <w:shd w:val="clear" w:color="auto" w:fill="4F81BD" w:themeFill="accent1"/>
            <w:vAlign w:val="center"/>
          </w:tcPr>
          <w:p w14:paraId="1BD034C7">
            <w:pPr>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名称</w:t>
            </w:r>
          </w:p>
        </w:tc>
        <w:tc>
          <w:tcPr>
            <w:tcW w:w="2410" w:type="dxa"/>
            <w:shd w:val="clear" w:color="auto" w:fill="4F81BD" w:themeFill="accent1"/>
            <w:vAlign w:val="center"/>
          </w:tcPr>
          <w:p w14:paraId="1D856A12">
            <w:pPr>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规格（48T）</w:t>
            </w:r>
          </w:p>
        </w:tc>
        <w:tc>
          <w:tcPr>
            <w:tcW w:w="2409" w:type="dxa"/>
            <w:shd w:val="clear" w:color="auto" w:fill="4F81BD" w:themeFill="accent1"/>
            <w:vAlign w:val="center"/>
          </w:tcPr>
          <w:p w14:paraId="2242FBB9">
            <w:pPr>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规格（96T）</w:t>
            </w:r>
          </w:p>
        </w:tc>
        <w:tc>
          <w:tcPr>
            <w:tcW w:w="3387" w:type="dxa"/>
            <w:shd w:val="clear" w:color="auto" w:fill="4F81BD" w:themeFill="accent1"/>
            <w:vAlign w:val="center"/>
          </w:tcPr>
          <w:p w14:paraId="7EBFB11C">
            <w:pPr>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备注</w:t>
            </w:r>
          </w:p>
        </w:tc>
      </w:tr>
      <w:tr w14:paraId="12211883">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15714902">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预包被酶标板</w:t>
            </w:r>
          </w:p>
        </w:tc>
        <w:tc>
          <w:tcPr>
            <w:tcW w:w="2410" w:type="dxa"/>
            <w:vAlign w:val="center"/>
          </w:tcPr>
          <w:p w14:paraId="360A980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8×6条</w:t>
            </w:r>
          </w:p>
        </w:tc>
        <w:tc>
          <w:tcPr>
            <w:tcW w:w="2409" w:type="dxa"/>
            <w:vAlign w:val="center"/>
          </w:tcPr>
          <w:p w14:paraId="4F766D1A">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8×12条</w:t>
            </w:r>
          </w:p>
        </w:tc>
        <w:tc>
          <w:tcPr>
            <w:tcW w:w="3387" w:type="dxa"/>
            <w:vAlign w:val="center"/>
          </w:tcPr>
          <w:p w14:paraId="0D445943">
            <w:pPr>
              <w:jc w:val="center"/>
              <w:rPr>
                <w:rFonts w:hint="eastAsia" w:ascii="微软雅黑" w:hAnsi="微软雅黑" w:eastAsia="微软雅黑" w:cs="微软雅黑"/>
                <w:b w:val="0"/>
                <w:bCs w:val="0"/>
                <w:color w:val="auto"/>
                <w:sz w:val="24"/>
                <w:szCs w:val="24"/>
              </w:rPr>
            </w:pPr>
            <w:bookmarkStart w:id="6" w:name="OLE_LINK1"/>
            <w:r>
              <w:rPr>
                <w:rFonts w:hint="eastAsia" w:ascii="微软雅黑" w:hAnsi="微软雅黑" w:eastAsia="微软雅黑" w:cs="微软雅黑"/>
                <w:b w:val="0"/>
                <w:bCs w:val="0"/>
                <w:color w:val="auto"/>
                <w:sz w:val="24"/>
                <w:szCs w:val="24"/>
              </w:rPr>
              <w:t>2-8℃</w:t>
            </w:r>
            <w:bookmarkEnd w:id="6"/>
          </w:p>
        </w:tc>
      </w:tr>
      <w:tr w14:paraId="4935B962">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1AB623C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标准品</w:t>
            </w:r>
          </w:p>
        </w:tc>
        <w:tc>
          <w:tcPr>
            <w:tcW w:w="2410" w:type="dxa"/>
            <w:vAlign w:val="center"/>
          </w:tcPr>
          <w:p w14:paraId="58870FA9">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1支×100μL</w:t>
            </w:r>
          </w:p>
        </w:tc>
        <w:tc>
          <w:tcPr>
            <w:tcW w:w="2409" w:type="dxa"/>
            <w:vAlign w:val="center"/>
          </w:tcPr>
          <w:p w14:paraId="5070B11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1支×200μL</w:t>
            </w:r>
          </w:p>
        </w:tc>
        <w:tc>
          <w:tcPr>
            <w:tcW w:w="3387" w:type="dxa"/>
            <w:vAlign w:val="center"/>
          </w:tcPr>
          <w:p w14:paraId="0E46B260">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6766D206">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2D15BA6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100×生物素化抗体</w:t>
            </w:r>
          </w:p>
        </w:tc>
        <w:tc>
          <w:tcPr>
            <w:tcW w:w="2410" w:type="dxa"/>
            <w:vAlign w:val="center"/>
          </w:tcPr>
          <w:p w14:paraId="359C8DB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1支×50μL</w:t>
            </w:r>
          </w:p>
        </w:tc>
        <w:tc>
          <w:tcPr>
            <w:tcW w:w="2409" w:type="dxa"/>
            <w:vAlign w:val="center"/>
          </w:tcPr>
          <w:p w14:paraId="51F52A80">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1支×100μL</w:t>
            </w:r>
          </w:p>
        </w:tc>
        <w:tc>
          <w:tcPr>
            <w:tcW w:w="3387" w:type="dxa"/>
            <w:vAlign w:val="center"/>
          </w:tcPr>
          <w:p w14:paraId="456C50D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2553B212">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6E9422AB">
            <w:pPr>
              <w:jc w:val="center"/>
              <w:rPr>
                <w:rFonts w:hint="eastAsia" w:ascii="微软雅黑" w:hAnsi="微软雅黑" w:eastAsia="微软雅黑" w:cs="微软雅黑"/>
                <w:b w:val="0"/>
                <w:bCs w:val="0"/>
                <w:color w:val="auto"/>
                <w:spacing w:val="28"/>
                <w:sz w:val="24"/>
                <w:szCs w:val="24"/>
              </w:rPr>
            </w:pPr>
            <w:r>
              <w:rPr>
                <w:rFonts w:hint="eastAsia" w:ascii="微软雅黑" w:hAnsi="微软雅黑" w:eastAsia="微软雅黑" w:cs="微软雅黑"/>
                <w:b w:val="0"/>
                <w:bCs w:val="0"/>
                <w:color w:val="auto"/>
                <w:sz w:val="24"/>
                <w:szCs w:val="24"/>
              </w:rPr>
              <w:t>0100×SA-HRP</w:t>
            </w:r>
          </w:p>
        </w:tc>
        <w:tc>
          <w:tcPr>
            <w:tcW w:w="2410" w:type="dxa"/>
            <w:vAlign w:val="center"/>
          </w:tcPr>
          <w:p w14:paraId="4402E8F1">
            <w:pPr>
              <w:jc w:val="center"/>
              <w:rPr>
                <w:rFonts w:hint="eastAsia" w:ascii="微软雅黑" w:hAnsi="微软雅黑" w:eastAsia="微软雅黑" w:cs="微软雅黑"/>
                <w:b w:val="0"/>
                <w:bCs w:val="0"/>
                <w:color w:val="auto"/>
                <w:spacing w:val="28"/>
                <w:sz w:val="24"/>
                <w:szCs w:val="24"/>
              </w:rPr>
            </w:pPr>
            <w:r>
              <w:rPr>
                <w:rFonts w:hint="eastAsia" w:ascii="微软雅黑" w:hAnsi="微软雅黑" w:eastAsia="微软雅黑" w:cs="微软雅黑"/>
                <w:b w:val="0"/>
                <w:bCs w:val="0"/>
                <w:color w:val="auto"/>
                <w:sz w:val="24"/>
                <w:szCs w:val="24"/>
              </w:rPr>
              <w:t>1支×50μL</w:t>
            </w:r>
          </w:p>
        </w:tc>
        <w:tc>
          <w:tcPr>
            <w:tcW w:w="2409" w:type="dxa"/>
            <w:vAlign w:val="center"/>
          </w:tcPr>
          <w:p w14:paraId="3EAF31E7">
            <w:pPr>
              <w:jc w:val="center"/>
              <w:rPr>
                <w:rFonts w:hint="eastAsia" w:ascii="微软雅黑" w:hAnsi="微软雅黑" w:eastAsia="微软雅黑" w:cs="微软雅黑"/>
                <w:b w:val="0"/>
                <w:bCs w:val="0"/>
                <w:color w:val="auto"/>
                <w:spacing w:val="28"/>
                <w:sz w:val="24"/>
                <w:szCs w:val="24"/>
              </w:rPr>
            </w:pPr>
            <w:r>
              <w:rPr>
                <w:rFonts w:hint="eastAsia" w:ascii="微软雅黑" w:hAnsi="微软雅黑" w:eastAsia="微软雅黑" w:cs="微软雅黑"/>
                <w:b w:val="0"/>
                <w:bCs w:val="0"/>
                <w:color w:val="auto"/>
                <w:sz w:val="24"/>
                <w:szCs w:val="24"/>
              </w:rPr>
              <w:t>1支×100μL</w:t>
            </w:r>
          </w:p>
        </w:tc>
        <w:tc>
          <w:tcPr>
            <w:tcW w:w="3387" w:type="dxa"/>
            <w:vAlign w:val="center"/>
          </w:tcPr>
          <w:p w14:paraId="621A484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01DAA674">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16E3340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20×浓缩稀释液</w:t>
            </w:r>
          </w:p>
        </w:tc>
        <w:tc>
          <w:tcPr>
            <w:tcW w:w="2410" w:type="dxa"/>
            <w:vAlign w:val="center"/>
          </w:tcPr>
          <w:p w14:paraId="2550DCE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1支×15mL</w:t>
            </w:r>
          </w:p>
        </w:tc>
        <w:tc>
          <w:tcPr>
            <w:tcW w:w="2409" w:type="dxa"/>
            <w:vAlign w:val="center"/>
          </w:tcPr>
          <w:p w14:paraId="2A38096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1支×25mL</w:t>
            </w:r>
          </w:p>
        </w:tc>
        <w:tc>
          <w:tcPr>
            <w:tcW w:w="3387" w:type="dxa"/>
            <w:vAlign w:val="center"/>
          </w:tcPr>
          <w:p w14:paraId="42CE5D36">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6217B3CF">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3C306EB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显色液A</w:t>
            </w:r>
          </w:p>
        </w:tc>
        <w:tc>
          <w:tcPr>
            <w:tcW w:w="2410" w:type="dxa"/>
            <w:vAlign w:val="center"/>
          </w:tcPr>
          <w:p w14:paraId="2913E2E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1支×3mL</w:t>
            </w:r>
          </w:p>
        </w:tc>
        <w:tc>
          <w:tcPr>
            <w:tcW w:w="2409" w:type="dxa"/>
            <w:vAlign w:val="center"/>
          </w:tcPr>
          <w:p w14:paraId="7AF5B8B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1支×6mL</w:t>
            </w:r>
          </w:p>
        </w:tc>
        <w:tc>
          <w:tcPr>
            <w:tcW w:w="3387" w:type="dxa"/>
            <w:vAlign w:val="center"/>
          </w:tcPr>
          <w:p w14:paraId="3FBD73FE">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0073A17D">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4259F28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显色液B</w:t>
            </w:r>
          </w:p>
        </w:tc>
        <w:tc>
          <w:tcPr>
            <w:tcW w:w="2410" w:type="dxa"/>
            <w:vAlign w:val="center"/>
          </w:tcPr>
          <w:p w14:paraId="0FBAE9B6">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1支×3mL</w:t>
            </w:r>
          </w:p>
        </w:tc>
        <w:tc>
          <w:tcPr>
            <w:tcW w:w="2409" w:type="dxa"/>
            <w:vAlign w:val="center"/>
          </w:tcPr>
          <w:p w14:paraId="10A4A07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1支×6mL</w:t>
            </w:r>
          </w:p>
        </w:tc>
        <w:tc>
          <w:tcPr>
            <w:tcW w:w="3387" w:type="dxa"/>
            <w:vAlign w:val="center"/>
          </w:tcPr>
          <w:p w14:paraId="16ACDBA9">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53488DFC">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6F06E9A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终止液</w:t>
            </w:r>
          </w:p>
        </w:tc>
        <w:tc>
          <w:tcPr>
            <w:tcW w:w="2410" w:type="dxa"/>
            <w:vAlign w:val="center"/>
          </w:tcPr>
          <w:p w14:paraId="773DF90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1支×3mL</w:t>
            </w:r>
          </w:p>
        </w:tc>
        <w:tc>
          <w:tcPr>
            <w:tcW w:w="2409" w:type="dxa"/>
            <w:vAlign w:val="center"/>
          </w:tcPr>
          <w:p w14:paraId="1F86FBE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1支×6mL</w:t>
            </w:r>
          </w:p>
        </w:tc>
        <w:tc>
          <w:tcPr>
            <w:tcW w:w="3387" w:type="dxa"/>
            <w:vAlign w:val="center"/>
          </w:tcPr>
          <w:p w14:paraId="187B751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07501A92">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217BDC1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20×浓缩洗涤液</w:t>
            </w:r>
          </w:p>
        </w:tc>
        <w:tc>
          <w:tcPr>
            <w:tcW w:w="2410" w:type="dxa"/>
            <w:vAlign w:val="center"/>
          </w:tcPr>
          <w:p w14:paraId="27B6DBC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1支×15mL</w:t>
            </w:r>
          </w:p>
        </w:tc>
        <w:tc>
          <w:tcPr>
            <w:tcW w:w="2409" w:type="dxa"/>
            <w:vAlign w:val="center"/>
          </w:tcPr>
          <w:p w14:paraId="2D1B674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1支×25mL</w:t>
            </w:r>
          </w:p>
        </w:tc>
        <w:tc>
          <w:tcPr>
            <w:tcW w:w="3387" w:type="dxa"/>
            <w:vAlign w:val="center"/>
          </w:tcPr>
          <w:p w14:paraId="0F5692F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3FA27F26">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2717FF8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封板胶纸</w:t>
            </w:r>
          </w:p>
        </w:tc>
        <w:tc>
          <w:tcPr>
            <w:tcW w:w="2410" w:type="dxa"/>
            <w:vAlign w:val="center"/>
          </w:tcPr>
          <w:p w14:paraId="5EB373A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2张</w:t>
            </w:r>
          </w:p>
        </w:tc>
        <w:tc>
          <w:tcPr>
            <w:tcW w:w="2409" w:type="dxa"/>
            <w:vAlign w:val="center"/>
          </w:tcPr>
          <w:p w14:paraId="2568A6A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2张</w:t>
            </w:r>
          </w:p>
        </w:tc>
        <w:tc>
          <w:tcPr>
            <w:tcW w:w="3387" w:type="dxa"/>
            <w:vAlign w:val="center"/>
          </w:tcPr>
          <w:p w14:paraId="3ACF5952">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无</w:t>
            </w:r>
          </w:p>
        </w:tc>
      </w:tr>
      <w:tr w14:paraId="108A9AEB">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57F49EE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产品说明书</w:t>
            </w:r>
          </w:p>
        </w:tc>
        <w:tc>
          <w:tcPr>
            <w:tcW w:w="2410" w:type="dxa"/>
            <w:vAlign w:val="center"/>
          </w:tcPr>
          <w:p w14:paraId="5E811CC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1份</w:t>
            </w:r>
          </w:p>
        </w:tc>
        <w:tc>
          <w:tcPr>
            <w:tcW w:w="2409" w:type="dxa"/>
            <w:vAlign w:val="center"/>
          </w:tcPr>
          <w:p w14:paraId="1A39A06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1份</w:t>
            </w:r>
          </w:p>
        </w:tc>
        <w:tc>
          <w:tcPr>
            <w:tcW w:w="3387" w:type="dxa"/>
            <w:vAlign w:val="center"/>
          </w:tcPr>
          <w:p w14:paraId="2FCAC23E">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请仔细阅读</w:t>
            </w:r>
          </w:p>
        </w:tc>
      </w:tr>
    </w:tbl>
    <w:p w14:paraId="3065ED68">
      <w:pPr>
        <w:pStyle w:val="10"/>
        <w:rPr>
          <w:rFonts w:hint="eastAsia"/>
          <w:color w:val="auto"/>
          <w:u w:val="single"/>
        </w:rPr>
      </w:pPr>
      <w:bookmarkStart w:id="7" w:name="_Toc164420459"/>
      <w:r>
        <w:rPr>
          <w:rFonts w:hint="eastAsia"/>
          <w:color w:val="auto"/>
          <w:u w:val="single"/>
        </w:rPr>
        <w:t>需要的其他材料</w:t>
      </w:r>
      <w:bookmarkEnd w:id="7"/>
    </w:p>
    <w:p w14:paraId="515185EC">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酶标仪，包含</w:t>
      </w:r>
      <w:r>
        <w:rPr>
          <w:rFonts w:ascii="微软雅黑" w:hAnsi="微软雅黑" w:eastAsia="微软雅黑" w:cs="Times New Roman"/>
          <w:sz w:val="28"/>
          <w:szCs w:val="28"/>
        </w:rPr>
        <w:t>450nm</w:t>
      </w:r>
      <w:r>
        <w:rPr>
          <w:rFonts w:hint="eastAsia" w:ascii="微软雅黑" w:hAnsi="微软雅黑" w:eastAsia="微软雅黑" w:cs="Times New Roman"/>
          <w:sz w:val="28"/>
          <w:szCs w:val="28"/>
        </w:rPr>
        <w:t>测定波长，同时包含</w:t>
      </w:r>
      <w:r>
        <w:rPr>
          <w:rFonts w:ascii="微软雅黑" w:hAnsi="微软雅黑" w:eastAsia="微软雅黑" w:cs="Times New Roman"/>
          <w:sz w:val="28"/>
          <w:szCs w:val="28"/>
        </w:rPr>
        <w:t>600-680nm</w:t>
      </w:r>
      <w:r>
        <w:rPr>
          <w:rFonts w:hint="eastAsia" w:ascii="微软雅黑" w:hAnsi="微软雅黑" w:eastAsia="微软雅黑" w:cs="Times New Roman"/>
          <w:sz w:val="28"/>
          <w:szCs w:val="28"/>
        </w:rPr>
        <w:t>校正波长更佳；</w:t>
      </w:r>
    </w:p>
    <w:p w14:paraId="3F8B9217">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移液器及枪头；</w:t>
      </w:r>
    </w:p>
    <w:p w14:paraId="687050A6">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蒸馏水或去离子水；</w:t>
      </w:r>
    </w:p>
    <w:p w14:paraId="37D2D768">
      <w:pPr>
        <w:pStyle w:val="17"/>
        <w:numPr>
          <w:ilvl w:val="0"/>
          <w:numId w:val="1"/>
        </w:numPr>
        <w:ind w:left="-320" w:leftChars="0" w:firstLine="560" w:firstLineChars="0"/>
        <w:rPr>
          <w:rFonts w:hint="eastAsia" w:ascii="微软雅黑" w:hAnsi="微软雅黑" w:eastAsia="微软雅黑" w:cs="Times New Roman"/>
          <w:sz w:val="28"/>
          <w:szCs w:val="28"/>
        </w:rPr>
      </w:pPr>
      <w:r>
        <w:rPr>
          <w:rFonts w:ascii="微软雅黑" w:hAnsi="微软雅黑" w:eastAsia="微软雅黑" w:cs="Times New Roman"/>
          <w:sz w:val="28"/>
          <w:szCs w:val="28"/>
        </w:rPr>
        <w:t>100-1000 mL</w:t>
      </w:r>
      <w:r>
        <w:rPr>
          <w:rFonts w:hint="eastAsia" w:ascii="微软雅黑" w:hAnsi="微软雅黑" w:eastAsia="微软雅黑" w:cs="Times New Roman"/>
          <w:sz w:val="28"/>
          <w:szCs w:val="28"/>
        </w:rPr>
        <w:t>刻度量筒；</w:t>
      </w:r>
    </w:p>
    <w:p w14:paraId="2E9E8839">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洗瓶、排枪或自动微孔板清洗机；</w:t>
      </w:r>
    </w:p>
    <w:p w14:paraId="12DCCB93">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水平轨道微孔板振荡器，能够保持</w:t>
      </w:r>
      <w:r>
        <w:rPr>
          <w:rFonts w:ascii="微软雅黑" w:hAnsi="微软雅黑" w:eastAsia="微软雅黑" w:cs="Times New Roman"/>
          <w:sz w:val="28"/>
          <w:szCs w:val="28"/>
        </w:rPr>
        <w:t>500</w:t>
      </w:r>
      <w:r>
        <w:rPr>
          <w:rFonts w:hint="eastAsia" w:ascii="微软雅黑" w:hAnsi="微软雅黑" w:eastAsia="微软雅黑" w:cs="Times New Roman"/>
          <w:sz w:val="28"/>
          <w:szCs w:val="28"/>
        </w:rPr>
        <w:t>±</w:t>
      </w:r>
      <w:r>
        <w:rPr>
          <w:rFonts w:ascii="微软雅黑" w:hAnsi="微软雅黑" w:eastAsia="微软雅黑" w:cs="Times New Roman"/>
          <w:sz w:val="28"/>
          <w:szCs w:val="28"/>
        </w:rPr>
        <w:t>50 rpm</w:t>
      </w:r>
      <w:r>
        <w:rPr>
          <w:rFonts w:hint="eastAsia" w:ascii="微软雅黑" w:hAnsi="微软雅黑" w:eastAsia="微软雅黑" w:cs="Times New Roman"/>
          <w:sz w:val="28"/>
          <w:szCs w:val="28"/>
        </w:rPr>
        <w:t>的速度；</w:t>
      </w:r>
    </w:p>
    <w:p w14:paraId="3B7A8A37">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用于稀释标准品和样品的试管。</w:t>
      </w:r>
    </w:p>
    <w:p w14:paraId="67152237">
      <w:pPr>
        <w:pStyle w:val="10"/>
        <w:rPr>
          <w:rFonts w:hint="eastAsia"/>
          <w:color w:val="E46C0A" w:themeColor="accent6" w:themeShade="BF"/>
        </w:rPr>
      </w:pPr>
      <w:bookmarkStart w:id="8" w:name="_Toc164420461"/>
      <w:r>
        <w:rPr>
          <w:rFonts w:hint="eastAsia"/>
          <w:color w:val="auto"/>
          <w:u w:val="single"/>
        </w:rPr>
        <w:t>样品</w:t>
      </w:r>
      <w:bookmarkEnd w:id="8"/>
      <w:r>
        <w:rPr>
          <w:rFonts w:hint="eastAsia"/>
          <w:color w:val="auto"/>
          <w:u w:val="single"/>
        </w:rPr>
        <w:t>处理及要求</w:t>
      </w:r>
    </w:p>
    <w:p w14:paraId="30CE87B3">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下面列出的样品收集和储存条件旨在作为一般性指导。样品稳定性尚未评估。</w:t>
      </w:r>
    </w:p>
    <w:p w14:paraId="7E38B132">
      <w:pPr>
        <w:pStyle w:val="23"/>
        <w:ind w:firstLine="560" w:firstLineChars="200"/>
        <w:rPr>
          <w:rFonts w:hint="eastAsia" w:ascii="微软雅黑" w:hAnsi="微软雅黑" w:eastAsia="微软雅黑"/>
          <w:sz w:val="28"/>
          <w:szCs w:val="28"/>
        </w:rPr>
      </w:pPr>
      <w:r>
        <w:rPr>
          <w:rFonts w:hint="eastAsia" w:ascii="微软雅黑" w:hAnsi="微软雅黑" w:eastAsia="微软雅黑"/>
          <w:b/>
          <w:color w:val="000000"/>
          <w:sz w:val="28"/>
          <w:szCs w:val="28"/>
        </w:rPr>
        <w:t>细胞培养上清液</w:t>
      </w:r>
      <w:r>
        <w:rPr>
          <w:rFonts w:hint="eastAsia" w:ascii="微软雅黑" w:hAnsi="微软雅黑" w:eastAsia="微软雅黑"/>
          <w:color w:val="000000"/>
          <w:sz w:val="28"/>
          <w:szCs w:val="28"/>
        </w:rPr>
        <w:t>：</w:t>
      </w:r>
      <w:r>
        <w:rPr>
          <w:rFonts w:hint="eastAsia" w:ascii="微软雅黑" w:hAnsi="微软雅黑" w:eastAsia="微软雅黑"/>
          <w:color w:val="000000" w:themeColor="text1"/>
          <w:sz w:val="28"/>
          <w:szCs w:val="28"/>
          <w14:textFill>
            <w14:solidFill>
              <w14:schemeClr w14:val="tx1"/>
            </w14:solidFill>
          </w14:textFill>
        </w:rPr>
        <w:t>在</w:t>
      </w:r>
      <w:r>
        <w:rPr>
          <w:rFonts w:ascii="微软雅黑" w:hAnsi="微软雅黑" w:eastAsia="微软雅黑"/>
          <w:color w:val="000000" w:themeColor="text1"/>
          <w:sz w:val="28"/>
          <w:szCs w:val="28"/>
          <w14:textFill>
            <w14:solidFill>
              <w14:schemeClr w14:val="tx1"/>
            </w14:solidFill>
          </w14:textFill>
        </w:rPr>
        <w:t>1000</w:t>
      </w:r>
      <w:r>
        <w:rPr>
          <w:rFonts w:hint="eastAsia" w:ascii="微软雅黑" w:hAnsi="微软雅黑" w:eastAsia="微软雅黑"/>
          <w:color w:val="000000" w:themeColor="text1"/>
          <w:sz w:val="28"/>
          <w:szCs w:val="28"/>
          <w14:textFill>
            <w14:solidFill>
              <w14:schemeClr w14:val="tx1"/>
            </w14:solidFill>
          </w14:textFill>
        </w:rPr>
        <w:t>×</w:t>
      </w:r>
      <w:r>
        <w:rPr>
          <w:rFonts w:ascii="微软雅黑" w:hAnsi="微软雅黑" w:eastAsia="微软雅黑"/>
          <w:color w:val="000000" w:themeColor="text1"/>
          <w:sz w:val="28"/>
          <w:szCs w:val="28"/>
          <w14:textFill>
            <w14:solidFill>
              <w14:schemeClr w14:val="tx1"/>
            </w14:solidFill>
          </w14:textFill>
        </w:rPr>
        <w:t>g</w:t>
      </w:r>
      <w:r>
        <w:rPr>
          <w:rFonts w:hint="eastAsia" w:ascii="微软雅黑" w:hAnsi="微软雅黑" w:eastAsia="微软雅黑"/>
          <w:color w:val="000000" w:themeColor="text1"/>
          <w:sz w:val="28"/>
          <w:szCs w:val="28"/>
          <w14:textFill>
            <w14:solidFill>
              <w14:schemeClr w14:val="tx1"/>
            </w14:solidFill>
          </w14:textFill>
        </w:rPr>
        <w:t>下离心</w:t>
      </w:r>
      <w:r>
        <w:rPr>
          <w:rFonts w:ascii="微软雅黑" w:hAnsi="微软雅黑" w:eastAsia="微软雅黑"/>
          <w:color w:val="000000" w:themeColor="text1"/>
          <w:sz w:val="28"/>
          <w:szCs w:val="28"/>
          <w14:textFill>
            <w14:solidFill>
              <w14:schemeClr w14:val="tx1"/>
            </w14:solidFill>
          </w14:textFill>
        </w:rPr>
        <w:t>15</w:t>
      </w:r>
      <w:r>
        <w:rPr>
          <w:rFonts w:hint="eastAsia" w:ascii="微软雅黑" w:hAnsi="微软雅黑" w:eastAsia="微软雅黑"/>
          <w:color w:val="000000" w:themeColor="text1"/>
          <w:sz w:val="28"/>
          <w:szCs w:val="28"/>
          <w14:textFill>
            <w14:solidFill>
              <w14:schemeClr w14:val="tx1"/>
            </w14:solidFill>
          </w14:textFill>
        </w:rPr>
        <w:t>分钟去</w:t>
      </w:r>
      <w:r>
        <w:rPr>
          <w:rFonts w:hint="eastAsia" w:ascii="微软雅黑" w:hAnsi="微软雅黑" w:eastAsia="微软雅黑"/>
          <w:color w:val="000000"/>
          <w:sz w:val="28"/>
          <w:szCs w:val="28"/>
        </w:rPr>
        <w:t>除颗粒，立即进行测定或等分装样品，并将样品储存在≤</w:t>
      </w:r>
      <w:r>
        <w:rPr>
          <w:rFonts w:ascii="微软雅黑" w:hAnsi="微软雅黑" w:eastAsia="微软雅黑"/>
          <w:color w:val="000000"/>
          <w:sz w:val="28"/>
          <w:szCs w:val="28"/>
        </w:rPr>
        <w:t>-20</w:t>
      </w:r>
      <w:r>
        <w:rPr>
          <w:rFonts w:hint="eastAsia" w:ascii="微软雅黑" w:hAnsi="微软雅黑" w:eastAsia="微软雅黑"/>
          <w:color w:val="000000"/>
          <w:sz w:val="28"/>
          <w:szCs w:val="28"/>
        </w:rPr>
        <w:t>℃的温度下。避免重复冻融循环。（</w:t>
      </w:r>
      <w:r>
        <w:rPr>
          <w:rFonts w:hint="eastAsia" w:ascii="微软雅黑" w:hAnsi="微软雅黑" w:eastAsia="微软雅黑"/>
          <w:sz w:val="28"/>
          <w:szCs w:val="28"/>
        </w:rPr>
        <w:t>由于基质效应，细胞培养上清液样品建议预实验以确定稀释倍数）</w:t>
      </w:r>
    </w:p>
    <w:p w14:paraId="5FF2BCD4">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血清</w:t>
      </w:r>
      <w:r>
        <w:rPr>
          <w:rFonts w:hint="eastAsia" w:ascii="微软雅黑" w:hAnsi="微软雅黑" w:eastAsia="微软雅黑"/>
          <w:color w:val="000000"/>
          <w:sz w:val="28"/>
          <w:szCs w:val="28"/>
        </w:rPr>
        <w:t>：使用血清分离管，使样品在室温下凝结</w:t>
      </w:r>
      <w:r>
        <w:rPr>
          <w:rFonts w:ascii="微软雅黑" w:hAnsi="微软雅黑" w:eastAsia="微软雅黑"/>
          <w:color w:val="000000"/>
          <w:sz w:val="28"/>
          <w:szCs w:val="28"/>
        </w:rPr>
        <w:t>30</w:t>
      </w:r>
      <w:r>
        <w:rPr>
          <w:rFonts w:hint="eastAsia" w:ascii="微软雅黑" w:hAnsi="微软雅黑" w:eastAsia="微软雅黑"/>
          <w:color w:val="000000"/>
          <w:sz w:val="28"/>
          <w:szCs w:val="28"/>
        </w:rPr>
        <w:t>分钟，然后在</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下离心</w:t>
      </w:r>
      <w:r>
        <w:rPr>
          <w:rFonts w:ascii="微软雅黑" w:hAnsi="微软雅黑" w:eastAsia="微软雅黑"/>
          <w:color w:val="000000"/>
          <w:sz w:val="28"/>
          <w:szCs w:val="28"/>
        </w:rPr>
        <w:t>15</w:t>
      </w:r>
      <w:r>
        <w:rPr>
          <w:rFonts w:hint="eastAsia" w:ascii="微软雅黑" w:hAnsi="微软雅黑" w:eastAsia="微软雅黑"/>
          <w:color w:val="000000"/>
          <w:sz w:val="28"/>
          <w:szCs w:val="28"/>
        </w:rPr>
        <w:t>分钟。立即取出血清并进行测定或等分装样品，将样品储存在≤</w:t>
      </w:r>
      <w:r>
        <w:rPr>
          <w:rFonts w:ascii="微软雅黑" w:hAnsi="微软雅黑" w:eastAsia="微软雅黑"/>
          <w:color w:val="000000"/>
          <w:sz w:val="28"/>
          <w:szCs w:val="28"/>
        </w:rPr>
        <w:t>-20</w:t>
      </w:r>
      <w:r>
        <w:rPr>
          <w:rFonts w:hint="eastAsia" w:ascii="微软雅黑" w:hAnsi="微软雅黑" w:eastAsia="微软雅黑"/>
          <w:color w:val="000000"/>
          <w:sz w:val="28"/>
          <w:szCs w:val="28"/>
        </w:rPr>
        <w:t>℃的温度下。避免重复冻融循环。（</w:t>
      </w:r>
      <w:r>
        <w:rPr>
          <w:rFonts w:hint="eastAsia" w:ascii="微软雅黑" w:hAnsi="微软雅黑" w:eastAsia="微软雅黑"/>
          <w:sz w:val="28"/>
          <w:szCs w:val="28"/>
        </w:rPr>
        <w:t>由于基质效应，血清样品建议</w:t>
      </w:r>
      <w:r>
        <w:rPr>
          <w:rFonts w:ascii="微软雅黑" w:hAnsi="微软雅黑" w:eastAsia="微软雅黑"/>
          <w:sz w:val="28"/>
          <w:szCs w:val="28"/>
        </w:rPr>
        <w:t>2</w:t>
      </w:r>
      <w:r>
        <w:rPr>
          <w:rFonts w:hint="eastAsia" w:ascii="微软雅黑" w:hAnsi="微软雅黑" w:eastAsia="微软雅黑"/>
          <w:sz w:val="28"/>
          <w:szCs w:val="28"/>
        </w:rPr>
        <w:t>倍稀释。例如：</w:t>
      </w:r>
      <w:r>
        <w:rPr>
          <w:rFonts w:ascii="微软雅黑" w:hAnsi="微软雅黑" w:eastAsia="微软雅黑"/>
          <w:sz w:val="28"/>
          <w:szCs w:val="28"/>
        </w:rPr>
        <w:t>50</w:t>
      </w:r>
      <w:r>
        <w:rPr>
          <w:rFonts w:hint="eastAsia" w:ascii="微软雅黑" w:hAnsi="微软雅黑" w:eastAsia="微软雅黑"/>
          <w:sz w:val="28"/>
          <w:szCs w:val="28"/>
        </w:rPr>
        <w:t>μ</w:t>
      </w:r>
      <w:r>
        <w:rPr>
          <w:rFonts w:ascii="微软雅黑" w:hAnsi="微软雅黑" w:eastAsia="微软雅黑"/>
          <w:sz w:val="28"/>
          <w:szCs w:val="28"/>
        </w:rPr>
        <w:t>L</w:t>
      </w:r>
      <w:r>
        <w:rPr>
          <w:rFonts w:hint="eastAsia" w:ascii="微软雅黑" w:hAnsi="微软雅黑" w:eastAsia="微软雅黑"/>
          <w:sz w:val="28"/>
          <w:szCs w:val="28"/>
        </w:rPr>
        <w:t>样品</w:t>
      </w:r>
      <w:r>
        <w:rPr>
          <w:rFonts w:ascii="微软雅黑" w:hAnsi="微软雅黑" w:eastAsia="微软雅黑"/>
          <w:sz w:val="28"/>
          <w:szCs w:val="28"/>
        </w:rPr>
        <w:t>+50</w:t>
      </w:r>
      <w:r>
        <w:rPr>
          <w:rFonts w:hint="eastAsia" w:ascii="微软雅黑" w:hAnsi="微软雅黑" w:eastAsia="微软雅黑"/>
          <w:sz w:val="28"/>
          <w:szCs w:val="28"/>
        </w:rPr>
        <w:t>μ</w:t>
      </w:r>
      <w:r>
        <w:rPr>
          <w:rFonts w:ascii="微软雅黑" w:hAnsi="微软雅黑" w:eastAsia="微软雅黑"/>
          <w:sz w:val="28"/>
          <w:szCs w:val="28"/>
        </w:rPr>
        <w:t>L</w:t>
      </w:r>
      <w:r>
        <w:rPr>
          <w:rFonts w:hint="eastAsia" w:ascii="微软雅黑" w:hAnsi="微软雅黑" w:eastAsia="微软雅黑"/>
          <w:sz w:val="28"/>
          <w:szCs w:val="28"/>
        </w:rPr>
        <w:t>的</w:t>
      </w:r>
      <w:r>
        <w:rPr>
          <w:rFonts w:ascii="微软雅黑" w:hAnsi="微软雅黑" w:eastAsia="微软雅黑"/>
          <w:sz w:val="28"/>
          <w:szCs w:val="28"/>
        </w:rPr>
        <w:t>1</w:t>
      </w:r>
      <w:r>
        <w:rPr>
          <w:rFonts w:hint="eastAsia" w:ascii="微软雅黑" w:hAnsi="微软雅黑" w:eastAsia="微软雅黑"/>
          <w:sz w:val="28"/>
          <w:szCs w:val="28"/>
        </w:rPr>
        <w:t>×稀释液）</w:t>
      </w:r>
    </w:p>
    <w:p w14:paraId="7E42FFFB">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血浆</w:t>
      </w:r>
      <w:r>
        <w:rPr>
          <w:rFonts w:hint="eastAsia" w:ascii="微软雅黑" w:hAnsi="微软雅黑" w:eastAsia="微软雅黑"/>
          <w:color w:val="000000"/>
          <w:sz w:val="28"/>
          <w:szCs w:val="28"/>
        </w:rPr>
        <w:t>：使用</w:t>
      </w:r>
      <w:r>
        <w:rPr>
          <w:rFonts w:ascii="微软雅黑" w:hAnsi="微软雅黑" w:eastAsia="微软雅黑"/>
          <w:color w:val="000000"/>
          <w:sz w:val="28"/>
          <w:szCs w:val="28"/>
        </w:rPr>
        <w:t>EDTA</w:t>
      </w:r>
      <w:r>
        <w:rPr>
          <w:rFonts w:hint="eastAsia" w:ascii="微软雅黑" w:hAnsi="微软雅黑" w:eastAsia="微软雅黑"/>
          <w:color w:val="000000"/>
          <w:sz w:val="28"/>
          <w:szCs w:val="28"/>
        </w:rPr>
        <w:t>或肝素作为抗凝剂收集血浆。收集后</w:t>
      </w:r>
      <w:r>
        <w:rPr>
          <w:rFonts w:ascii="微软雅黑" w:hAnsi="微软雅黑" w:eastAsia="微软雅黑"/>
          <w:color w:val="000000"/>
          <w:sz w:val="28"/>
          <w:szCs w:val="28"/>
        </w:rPr>
        <w:t>30</w:t>
      </w:r>
      <w:r>
        <w:rPr>
          <w:rFonts w:hint="eastAsia" w:ascii="微软雅黑" w:hAnsi="微软雅黑" w:eastAsia="微软雅黑"/>
          <w:color w:val="000000"/>
          <w:sz w:val="28"/>
          <w:szCs w:val="28"/>
        </w:rPr>
        <w:t>分钟内，以</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15</w:t>
      </w:r>
      <w:r>
        <w:rPr>
          <w:rFonts w:hint="eastAsia" w:ascii="微软雅黑" w:hAnsi="微软雅黑" w:eastAsia="微软雅黑"/>
          <w:color w:val="000000"/>
          <w:sz w:val="28"/>
          <w:szCs w:val="28"/>
        </w:rPr>
        <w:t>分钟。立即测定或等分装样品，并将样品储存在≤</w:t>
      </w:r>
      <w:r>
        <w:rPr>
          <w:rFonts w:ascii="微软雅黑" w:hAnsi="微软雅黑" w:eastAsia="微软雅黑"/>
          <w:color w:val="000000"/>
          <w:sz w:val="28"/>
          <w:szCs w:val="28"/>
        </w:rPr>
        <w:t>-20</w:t>
      </w:r>
      <w:r>
        <w:rPr>
          <w:rFonts w:hint="eastAsia" w:ascii="微软雅黑" w:hAnsi="微软雅黑" w:eastAsia="微软雅黑"/>
          <w:color w:val="000000"/>
          <w:sz w:val="28"/>
          <w:szCs w:val="28"/>
        </w:rPr>
        <w:t>℃的温度下。避免重复冻融循环。（</w:t>
      </w:r>
      <w:r>
        <w:rPr>
          <w:rFonts w:hint="eastAsia" w:ascii="微软雅黑" w:hAnsi="微软雅黑" w:eastAsia="微软雅黑"/>
          <w:sz w:val="28"/>
          <w:szCs w:val="28"/>
        </w:rPr>
        <w:t>由于基质效应，血浆样品建议</w:t>
      </w:r>
      <w:r>
        <w:rPr>
          <w:rFonts w:ascii="微软雅黑" w:hAnsi="微软雅黑" w:eastAsia="微软雅黑"/>
          <w:sz w:val="28"/>
          <w:szCs w:val="28"/>
        </w:rPr>
        <w:t>2</w:t>
      </w:r>
      <w:r>
        <w:rPr>
          <w:rFonts w:hint="eastAsia" w:ascii="微软雅黑" w:hAnsi="微软雅黑" w:eastAsia="微软雅黑"/>
          <w:sz w:val="28"/>
          <w:szCs w:val="28"/>
        </w:rPr>
        <w:t>倍稀释。例如：</w:t>
      </w:r>
      <w:r>
        <w:rPr>
          <w:rFonts w:ascii="微软雅黑" w:hAnsi="微软雅黑" w:eastAsia="微软雅黑"/>
          <w:sz w:val="28"/>
          <w:szCs w:val="28"/>
        </w:rPr>
        <w:t>50</w:t>
      </w:r>
      <w:r>
        <w:rPr>
          <w:rFonts w:hint="eastAsia" w:ascii="微软雅黑" w:hAnsi="微软雅黑" w:eastAsia="微软雅黑"/>
          <w:sz w:val="28"/>
          <w:szCs w:val="28"/>
        </w:rPr>
        <w:t>μ</w:t>
      </w:r>
      <w:r>
        <w:rPr>
          <w:rFonts w:ascii="微软雅黑" w:hAnsi="微软雅黑" w:eastAsia="微软雅黑"/>
          <w:sz w:val="28"/>
          <w:szCs w:val="28"/>
        </w:rPr>
        <w:t>L</w:t>
      </w:r>
      <w:r>
        <w:rPr>
          <w:rFonts w:hint="eastAsia" w:ascii="微软雅黑" w:hAnsi="微软雅黑" w:eastAsia="微软雅黑"/>
          <w:sz w:val="28"/>
          <w:szCs w:val="28"/>
        </w:rPr>
        <w:t>样品</w:t>
      </w:r>
      <w:r>
        <w:rPr>
          <w:rFonts w:ascii="微软雅黑" w:hAnsi="微软雅黑" w:eastAsia="微软雅黑"/>
          <w:sz w:val="28"/>
          <w:szCs w:val="28"/>
        </w:rPr>
        <w:t>+50</w:t>
      </w:r>
      <w:r>
        <w:rPr>
          <w:rFonts w:hint="eastAsia" w:ascii="微软雅黑" w:hAnsi="微软雅黑" w:eastAsia="微软雅黑"/>
          <w:sz w:val="28"/>
          <w:szCs w:val="28"/>
        </w:rPr>
        <w:t>μ</w:t>
      </w:r>
      <w:r>
        <w:rPr>
          <w:rFonts w:ascii="微软雅黑" w:hAnsi="微软雅黑" w:eastAsia="微软雅黑"/>
          <w:sz w:val="28"/>
          <w:szCs w:val="28"/>
        </w:rPr>
        <w:t>L</w:t>
      </w:r>
      <w:r>
        <w:rPr>
          <w:rFonts w:hint="eastAsia" w:ascii="微软雅黑" w:hAnsi="微软雅黑" w:eastAsia="微软雅黑"/>
          <w:sz w:val="28"/>
          <w:szCs w:val="28"/>
        </w:rPr>
        <w:t>的</w:t>
      </w:r>
      <w:r>
        <w:rPr>
          <w:rFonts w:ascii="微软雅黑" w:hAnsi="微软雅黑" w:eastAsia="微软雅黑"/>
          <w:sz w:val="28"/>
          <w:szCs w:val="28"/>
        </w:rPr>
        <w:t>1</w:t>
      </w:r>
      <w:r>
        <w:rPr>
          <w:rFonts w:hint="eastAsia" w:ascii="微软雅黑" w:hAnsi="微软雅黑" w:eastAsia="微软雅黑"/>
          <w:sz w:val="28"/>
          <w:szCs w:val="28"/>
        </w:rPr>
        <w:t>×稀释液）</w:t>
      </w:r>
    </w:p>
    <w:p w14:paraId="6B6340C2">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注：柠檬酸盐抗凝剂血浆未经验证可用于本试验，使用时应自行验证可行性。溶血的样品不适合用于该测定。</w:t>
      </w:r>
    </w:p>
    <w:p w14:paraId="59B846FD">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组织匀浆：</w:t>
      </w:r>
      <w:r>
        <w:rPr>
          <w:rFonts w:hint="eastAsia" w:ascii="微软雅黑" w:hAnsi="微软雅黑" w:eastAsia="微软雅黑"/>
          <w:color w:val="000000"/>
          <w:sz w:val="28"/>
          <w:szCs w:val="28"/>
        </w:rPr>
        <w:t>用预冷的</w:t>
      </w:r>
      <w:r>
        <w:rPr>
          <w:rFonts w:ascii="微软雅黑" w:hAnsi="微软雅黑" w:eastAsia="微软雅黑"/>
          <w:color w:val="000000"/>
          <w:sz w:val="28"/>
          <w:szCs w:val="28"/>
        </w:rPr>
        <w:t>PBS(0.01M,pH=7.4)</w:t>
      </w:r>
      <w:r>
        <w:rPr>
          <w:rFonts w:hint="eastAsia" w:ascii="微软雅黑" w:hAnsi="微软雅黑" w:eastAsia="微软雅黑"/>
          <w:color w:val="000000"/>
          <w:sz w:val="28"/>
          <w:szCs w:val="28"/>
        </w:rPr>
        <w:t>冲洗组织，去除残留血液（匀浆中裂解的红细胞会影响检测结果），称重后将组织剪碎。将剪碎的组织与对应体积的</w:t>
      </w:r>
      <w:r>
        <w:rPr>
          <w:rFonts w:ascii="微软雅黑" w:hAnsi="微软雅黑" w:eastAsia="微软雅黑"/>
          <w:color w:val="000000"/>
          <w:sz w:val="28"/>
          <w:szCs w:val="28"/>
        </w:rPr>
        <w:t>PBS</w:t>
      </w:r>
      <w:r>
        <w:rPr>
          <w:rFonts w:hint="eastAsia" w:ascii="微软雅黑" w:hAnsi="微软雅黑" w:eastAsia="微软雅黑"/>
          <w:color w:val="000000"/>
          <w:sz w:val="28"/>
          <w:szCs w:val="28"/>
        </w:rPr>
        <w:t>（一般按</w:t>
      </w:r>
      <w:r>
        <w:rPr>
          <w:rFonts w:ascii="微软雅黑" w:hAnsi="微软雅黑" w:eastAsia="微软雅黑"/>
          <w:color w:val="000000"/>
          <w:sz w:val="28"/>
          <w:szCs w:val="28"/>
        </w:rPr>
        <w:t>1:9</w:t>
      </w:r>
      <w:r>
        <w:rPr>
          <w:rFonts w:hint="eastAsia" w:ascii="微软雅黑" w:hAnsi="微软雅黑" w:eastAsia="微软雅黑"/>
          <w:color w:val="000000"/>
          <w:sz w:val="28"/>
          <w:szCs w:val="28"/>
        </w:rPr>
        <w:t>的重量体积比，比如</w:t>
      </w:r>
      <w:r>
        <w:rPr>
          <w:rFonts w:ascii="微软雅黑" w:hAnsi="微软雅黑" w:eastAsia="微软雅黑"/>
          <w:color w:val="000000"/>
          <w:sz w:val="28"/>
          <w:szCs w:val="28"/>
        </w:rPr>
        <w:t>1g</w:t>
      </w:r>
      <w:r>
        <w:rPr>
          <w:rFonts w:hint="eastAsia" w:ascii="微软雅黑" w:hAnsi="微软雅黑" w:eastAsia="微软雅黑"/>
          <w:color w:val="000000"/>
          <w:sz w:val="28"/>
          <w:szCs w:val="28"/>
        </w:rPr>
        <w:t>的组织样品对应</w:t>
      </w:r>
      <w:r>
        <w:rPr>
          <w:rFonts w:ascii="微软雅黑" w:hAnsi="微软雅黑" w:eastAsia="微软雅黑"/>
          <w:color w:val="000000"/>
          <w:sz w:val="28"/>
          <w:szCs w:val="28"/>
        </w:rPr>
        <w:t>9mL</w:t>
      </w:r>
      <w:r>
        <w:rPr>
          <w:rFonts w:hint="eastAsia" w:ascii="微软雅黑" w:hAnsi="微软雅黑" w:eastAsia="微软雅黑"/>
          <w:color w:val="000000"/>
          <w:sz w:val="28"/>
          <w:szCs w:val="28"/>
        </w:rPr>
        <w:t>的</w:t>
      </w:r>
      <w:r>
        <w:rPr>
          <w:rFonts w:ascii="微软雅黑" w:hAnsi="微软雅黑" w:eastAsia="微软雅黑"/>
          <w:color w:val="000000"/>
          <w:sz w:val="28"/>
          <w:szCs w:val="28"/>
        </w:rPr>
        <w:t>PBS</w:t>
      </w:r>
      <w:r>
        <w:rPr>
          <w:rFonts w:hint="eastAsia" w:ascii="微软雅黑" w:hAnsi="微软雅黑" w:eastAsia="微软雅黑"/>
          <w:color w:val="000000"/>
          <w:sz w:val="28"/>
          <w:szCs w:val="28"/>
        </w:rPr>
        <w:t>，具体体积可根据实验需要适当调整，并做好记录。推荐在</w:t>
      </w:r>
      <w:r>
        <w:rPr>
          <w:rFonts w:ascii="微软雅黑" w:hAnsi="微软雅黑" w:eastAsia="微软雅黑"/>
          <w:color w:val="000000"/>
          <w:sz w:val="28"/>
          <w:szCs w:val="28"/>
        </w:rPr>
        <w:t>PBS</w:t>
      </w:r>
      <w:r>
        <w:rPr>
          <w:rFonts w:hint="eastAsia" w:ascii="微软雅黑" w:hAnsi="微软雅黑" w:eastAsia="微软雅黑"/>
          <w:color w:val="000000"/>
          <w:sz w:val="28"/>
          <w:szCs w:val="28"/>
        </w:rPr>
        <w:t>中加入蛋白酶抑制剂）加入玻璃匀浆器中，于冰上充分研磨或匀浆机研磨。为了进一步裂解组织细胞，可以对匀浆液进行超声破碎，或反复冻融。最后将匀浆液于</w:t>
      </w:r>
      <w:r>
        <w:rPr>
          <w:rFonts w:ascii="微软雅黑" w:hAnsi="微软雅黑" w:eastAsia="微软雅黑"/>
          <w:color w:val="000000"/>
          <w:sz w:val="28"/>
          <w:szCs w:val="28"/>
        </w:rPr>
        <w:t>5000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5-10</w:t>
      </w:r>
      <w:r>
        <w:rPr>
          <w:rFonts w:hint="eastAsia" w:ascii="微软雅黑" w:hAnsi="微软雅黑" w:eastAsia="微软雅黑"/>
          <w:color w:val="000000"/>
          <w:sz w:val="28"/>
          <w:szCs w:val="28"/>
        </w:rPr>
        <w:t>分钟，取上清检测。</w:t>
      </w:r>
    </w:p>
    <w:p w14:paraId="0D884323">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细胞裂解液：</w:t>
      </w:r>
      <w:r>
        <w:rPr>
          <w:rFonts w:hint="eastAsia" w:ascii="微软雅黑" w:hAnsi="微软雅黑" w:eastAsia="微软雅黑"/>
          <w:color w:val="000000"/>
          <w:sz w:val="28"/>
          <w:szCs w:val="28"/>
        </w:rPr>
        <w:t>贴壁细胞用预冷</w:t>
      </w:r>
      <w:r>
        <w:rPr>
          <w:rFonts w:ascii="微软雅黑" w:hAnsi="微软雅黑" w:eastAsia="微软雅黑"/>
          <w:color w:val="000000"/>
          <w:sz w:val="28"/>
          <w:szCs w:val="28"/>
        </w:rPr>
        <w:t>PBS</w:t>
      </w:r>
      <w:r>
        <w:rPr>
          <w:rFonts w:hint="eastAsia" w:ascii="微软雅黑" w:hAnsi="微软雅黑" w:eastAsia="微软雅黑"/>
          <w:color w:val="000000"/>
          <w:sz w:val="28"/>
          <w:szCs w:val="28"/>
        </w:rPr>
        <w:t>轻轻清洗，然后用胰蛋白酶消化，</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5</w:t>
      </w:r>
      <w:r>
        <w:rPr>
          <w:rFonts w:hint="eastAsia" w:ascii="微软雅黑" w:hAnsi="微软雅黑" w:eastAsia="微软雅黑"/>
          <w:color w:val="000000"/>
          <w:sz w:val="28"/>
          <w:szCs w:val="28"/>
        </w:rPr>
        <w:t>分钟后收集细胞；悬浮细胞可直接离心收集。收集的细胞用预冷</w:t>
      </w:r>
      <w:r>
        <w:rPr>
          <w:rFonts w:ascii="微软雅黑" w:hAnsi="微软雅黑" w:eastAsia="微软雅黑"/>
          <w:color w:val="000000"/>
          <w:sz w:val="28"/>
          <w:szCs w:val="28"/>
        </w:rPr>
        <w:t>PBS</w:t>
      </w:r>
      <w:r>
        <w:rPr>
          <w:rFonts w:hint="eastAsia" w:ascii="微软雅黑" w:hAnsi="微软雅黑" w:eastAsia="微软雅黑"/>
          <w:color w:val="000000"/>
          <w:sz w:val="28"/>
          <w:szCs w:val="28"/>
        </w:rPr>
        <w:t>清洗</w:t>
      </w:r>
      <w:r>
        <w:rPr>
          <w:rFonts w:ascii="微软雅黑" w:hAnsi="微软雅黑" w:eastAsia="微软雅黑"/>
          <w:color w:val="000000"/>
          <w:sz w:val="28"/>
          <w:szCs w:val="28"/>
        </w:rPr>
        <w:t>3</w:t>
      </w:r>
      <w:r>
        <w:rPr>
          <w:rFonts w:hint="eastAsia" w:ascii="微软雅黑" w:hAnsi="微软雅黑" w:eastAsia="微软雅黑"/>
          <w:color w:val="000000"/>
          <w:sz w:val="28"/>
          <w:szCs w:val="28"/>
        </w:rPr>
        <w:t>次，每</w:t>
      </w:r>
      <w:r>
        <w:rPr>
          <w:rFonts w:ascii="微软雅黑" w:hAnsi="微软雅黑" w:eastAsia="微软雅黑"/>
          <w:color w:val="000000"/>
          <w:sz w:val="28"/>
          <w:szCs w:val="28"/>
        </w:rPr>
        <w:t>1</w:t>
      </w:r>
      <w:r>
        <w:rPr>
          <w:rFonts w:hint="eastAsia" w:ascii="微软雅黑" w:hAnsi="微软雅黑" w:eastAsia="微软雅黑"/>
          <w:color w:val="000000"/>
          <w:sz w:val="28"/>
          <w:szCs w:val="28"/>
        </w:rPr>
        <w:t>×</w:t>
      </w:r>
      <w:r>
        <w:rPr>
          <w:rFonts w:ascii="微软雅黑" w:hAnsi="微软雅黑" w:eastAsia="微软雅黑"/>
          <w:color w:val="000000"/>
          <w:sz w:val="28"/>
          <w:szCs w:val="28"/>
        </w:rPr>
        <w:t>10</w:t>
      </w:r>
      <w:r>
        <w:rPr>
          <w:rFonts w:ascii="微软雅黑" w:hAnsi="微软雅黑" w:eastAsia="微软雅黑"/>
          <w:color w:val="000000"/>
          <w:sz w:val="28"/>
          <w:szCs w:val="28"/>
          <w:vertAlign w:val="superscript"/>
        </w:rPr>
        <w:t>6</w:t>
      </w:r>
      <w:r>
        <w:rPr>
          <w:rFonts w:hint="eastAsia" w:ascii="微软雅黑" w:hAnsi="微软雅黑" w:eastAsia="微软雅黑"/>
          <w:color w:val="000000"/>
          <w:sz w:val="28"/>
          <w:szCs w:val="28"/>
        </w:rPr>
        <w:t>个细胞中加入</w:t>
      </w:r>
      <w:r>
        <w:rPr>
          <w:rFonts w:ascii="微软雅黑" w:hAnsi="微软雅黑" w:eastAsia="微软雅黑"/>
          <w:color w:val="000000"/>
          <w:sz w:val="28"/>
          <w:szCs w:val="28"/>
        </w:rPr>
        <w:t>150-200</w:t>
      </w:r>
      <w:r>
        <w:rPr>
          <w:rFonts w:hint="eastAsia" w:ascii="微软雅黑" w:hAnsi="微软雅黑" w:eastAsia="微软雅黑"/>
          <w:color w:val="000000"/>
          <w:sz w:val="28"/>
          <w:szCs w:val="28"/>
        </w:rPr>
        <w:t>μ</w:t>
      </w:r>
      <w:r>
        <w:rPr>
          <w:rFonts w:ascii="微软雅黑" w:hAnsi="微软雅黑" w:eastAsia="微软雅黑"/>
          <w:color w:val="000000"/>
          <w:sz w:val="28"/>
          <w:szCs w:val="28"/>
        </w:rPr>
        <w:t>L</w:t>
      </w:r>
      <w:r>
        <w:rPr>
          <w:rFonts w:hint="eastAsia" w:ascii="微软雅黑" w:hAnsi="微软雅黑" w:eastAsia="微软雅黑"/>
          <w:color w:val="000000"/>
          <w:sz w:val="28"/>
          <w:szCs w:val="28"/>
        </w:rPr>
        <w:t>的</w:t>
      </w:r>
      <w:r>
        <w:rPr>
          <w:rFonts w:ascii="微软雅黑" w:hAnsi="微软雅黑" w:eastAsia="微软雅黑"/>
          <w:color w:val="000000"/>
          <w:sz w:val="28"/>
          <w:szCs w:val="28"/>
        </w:rPr>
        <w:t>PBS</w:t>
      </w:r>
      <w:r>
        <w:rPr>
          <w:rFonts w:hint="eastAsia" w:ascii="微软雅黑" w:hAnsi="微软雅黑" w:eastAsia="微软雅黑"/>
          <w:color w:val="000000"/>
          <w:sz w:val="28"/>
          <w:szCs w:val="28"/>
        </w:rPr>
        <w:t>重悬（推荐在</w:t>
      </w:r>
      <w:r>
        <w:rPr>
          <w:rFonts w:ascii="微软雅黑" w:hAnsi="微软雅黑" w:eastAsia="微软雅黑"/>
          <w:color w:val="000000"/>
          <w:sz w:val="28"/>
          <w:szCs w:val="28"/>
        </w:rPr>
        <w:t>PBS</w:t>
      </w:r>
      <w:r>
        <w:rPr>
          <w:rFonts w:hint="eastAsia" w:ascii="微软雅黑" w:hAnsi="微软雅黑" w:eastAsia="微软雅黑"/>
          <w:color w:val="000000"/>
          <w:sz w:val="28"/>
          <w:szCs w:val="28"/>
        </w:rPr>
        <w:t>中加入蛋白酶抑制剂；若含量很低可适当减少</w:t>
      </w:r>
      <w:r>
        <w:rPr>
          <w:rFonts w:ascii="微软雅黑" w:hAnsi="微软雅黑" w:eastAsia="微软雅黑"/>
          <w:color w:val="000000"/>
          <w:sz w:val="28"/>
          <w:szCs w:val="28"/>
        </w:rPr>
        <w:t>PBS</w:t>
      </w:r>
      <w:r>
        <w:rPr>
          <w:rFonts w:hint="eastAsia" w:ascii="微软雅黑" w:hAnsi="微软雅黑" w:eastAsia="微软雅黑"/>
          <w:color w:val="000000"/>
          <w:sz w:val="28"/>
          <w:szCs w:val="28"/>
        </w:rPr>
        <w:t>体积）并通过反复冻融或超声使细胞破碎。将提取液于</w:t>
      </w:r>
      <w:r>
        <w:rPr>
          <w:rFonts w:ascii="微软雅黑" w:hAnsi="微软雅黑" w:eastAsia="微软雅黑"/>
          <w:color w:val="000000"/>
          <w:sz w:val="28"/>
          <w:szCs w:val="28"/>
        </w:rPr>
        <w:t>2-8</w:t>
      </w:r>
      <w:r>
        <w:rPr>
          <w:rFonts w:hint="eastAsia" w:ascii="微软雅黑" w:hAnsi="微软雅黑" w:eastAsia="微软雅黑"/>
          <w:color w:val="000000"/>
          <w:sz w:val="28"/>
          <w:szCs w:val="28"/>
        </w:rPr>
        <w:t>℃，</w:t>
      </w:r>
      <w:r>
        <w:rPr>
          <w:rFonts w:ascii="微软雅黑" w:hAnsi="微软雅黑" w:eastAsia="微软雅黑"/>
          <w:color w:val="000000"/>
          <w:sz w:val="28"/>
          <w:szCs w:val="28"/>
        </w:rPr>
        <w:t>1500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10</w:t>
      </w:r>
      <w:r>
        <w:rPr>
          <w:rFonts w:hint="eastAsia" w:ascii="微软雅黑" w:hAnsi="微软雅黑" w:eastAsia="微软雅黑"/>
          <w:color w:val="000000"/>
          <w:sz w:val="28"/>
          <w:szCs w:val="28"/>
        </w:rPr>
        <w:t>分钟，取上清检测。</w:t>
      </w:r>
    </w:p>
    <w:p w14:paraId="3F84466B">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其它样本类型：</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20</w:t>
      </w:r>
      <w:r>
        <w:rPr>
          <w:rFonts w:hint="eastAsia" w:ascii="微软雅黑" w:hAnsi="微软雅黑" w:eastAsia="微软雅黑"/>
          <w:color w:val="000000"/>
          <w:sz w:val="28"/>
          <w:szCs w:val="28"/>
        </w:rPr>
        <w:t>分钟，取上清即可检测。</w:t>
      </w:r>
      <w:bookmarkStart w:id="9" w:name="_Toc164420463"/>
    </w:p>
    <w:p w14:paraId="508E5342">
      <w:pPr>
        <w:pStyle w:val="17"/>
        <w:ind w:firstLine="560" w:firstLineChars="200"/>
        <w:rPr>
          <w:b/>
          <w:bCs/>
          <w:sz w:val="28"/>
          <w:szCs w:val="28"/>
        </w:rPr>
      </w:pPr>
      <w:r>
        <w:rPr>
          <w:rFonts w:ascii="微软雅黑" w:hAnsi="微软雅黑" w:eastAsia="微软雅黑" w:cs="Times New Roman"/>
          <w:b/>
          <w:sz w:val="28"/>
          <w:szCs w:val="28"/>
        </w:rPr>
        <w:t>样品外观：</w:t>
      </w:r>
      <w:r>
        <w:rPr>
          <w:rFonts w:ascii="微软雅黑" w:hAnsi="微软雅黑" w:eastAsia="微软雅黑" w:cs="Times New Roman"/>
          <w:sz w:val="28"/>
          <w:szCs w:val="28"/>
        </w:rPr>
        <w:t>样品应清澈透明，悬浮物应离心去除。</w:t>
      </w:r>
    </w:p>
    <w:p w14:paraId="7F1CE363">
      <w:pPr>
        <w:pStyle w:val="17"/>
        <w:ind w:firstLine="560" w:firstLineChars="200"/>
        <w:rPr>
          <w:rFonts w:hint="eastAsia" w:ascii="微软雅黑" w:hAnsi="微软雅黑" w:eastAsia="微软雅黑" w:cs="Times New Roman"/>
          <w:sz w:val="28"/>
          <w:szCs w:val="28"/>
        </w:rPr>
      </w:pPr>
      <w:r>
        <w:rPr>
          <w:rFonts w:ascii="微软雅黑" w:hAnsi="微软雅黑" w:eastAsia="微软雅黑" w:cs="Times New Roman"/>
          <w:b/>
          <w:sz w:val="28"/>
          <w:szCs w:val="28"/>
        </w:rPr>
        <w:t>样品保存：</w:t>
      </w:r>
      <w:r>
        <w:rPr>
          <w:rFonts w:ascii="微软雅黑" w:hAnsi="微软雅黑" w:eastAsia="微软雅黑" w:cs="Times New Roman"/>
          <w:sz w:val="28"/>
          <w:szCs w:val="28"/>
        </w:rPr>
        <w:t>样品收集后若在 1 周内进行检测的可保存于4℃，若不能及时检测，请按一次使用量分装，冻存于-20℃（1个月内检测），或-80℃（6个月内检测），避免反复冻融，标本溶血会影响最后检测结果，因此溶血标本不宜进行此项检测。</w:t>
      </w:r>
    </w:p>
    <w:p w14:paraId="124C5A0F">
      <w:pPr>
        <w:pStyle w:val="10"/>
        <w:rPr>
          <w:rFonts w:hint="eastAsia"/>
          <w:color w:val="auto"/>
          <w:u w:val="single"/>
        </w:rPr>
      </w:pPr>
      <w:r>
        <w:rPr>
          <w:rFonts w:hint="eastAsia"/>
          <w:color w:val="auto"/>
          <w:u w:val="single"/>
        </w:rPr>
        <w:t>试剂准备</w:t>
      </w:r>
      <w:bookmarkEnd w:id="9"/>
      <w:r>
        <w:rPr>
          <w:rFonts w:hint="eastAsia"/>
          <w:color w:val="auto"/>
          <w:u w:val="single"/>
        </w:rPr>
        <w:t>工作</w:t>
      </w:r>
    </w:p>
    <w:p w14:paraId="1627A620">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使用前将所有试剂置于室温平衡</w:t>
      </w:r>
      <w:r>
        <w:rPr>
          <w:rFonts w:ascii="微软雅黑" w:hAnsi="微软雅黑" w:eastAsia="微软雅黑"/>
          <w:color w:val="000000"/>
          <w:sz w:val="28"/>
          <w:szCs w:val="28"/>
        </w:rPr>
        <w:t>30</w:t>
      </w:r>
      <w:r>
        <w:rPr>
          <w:rFonts w:hint="eastAsia" w:ascii="微软雅黑" w:hAnsi="微软雅黑" w:eastAsia="微软雅黑"/>
          <w:color w:val="000000"/>
          <w:sz w:val="28"/>
          <w:szCs w:val="28"/>
        </w:rPr>
        <w:t>分钟左右。</w:t>
      </w:r>
    </w:p>
    <w:p w14:paraId="0A1CE7B4">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洗涤液</w:t>
      </w:r>
      <w:r>
        <w:rPr>
          <w:rFonts w:ascii="微软雅黑" w:hAnsi="微软雅黑" w:eastAsia="微软雅黑"/>
          <w:b/>
          <w:color w:val="000000"/>
          <w:sz w:val="28"/>
          <w:szCs w:val="28"/>
        </w:rPr>
        <w:t>/</w:t>
      </w:r>
      <w:r>
        <w:rPr>
          <w:rFonts w:hint="eastAsia" w:ascii="微软雅黑" w:hAnsi="微软雅黑" w:eastAsia="微软雅黑"/>
          <w:b/>
          <w:color w:val="000000"/>
          <w:sz w:val="28"/>
          <w:szCs w:val="28"/>
        </w:rPr>
        <w:t>稀释液配置：</w:t>
      </w:r>
      <w:r>
        <w:rPr>
          <w:rFonts w:hint="eastAsia" w:ascii="微软雅黑" w:hAnsi="微软雅黑" w:eastAsia="微软雅黑"/>
          <w:color w:val="000000"/>
          <w:sz w:val="28"/>
          <w:szCs w:val="28"/>
        </w:rPr>
        <w:t>如果洗涤液</w:t>
      </w:r>
      <w:r>
        <w:rPr>
          <w:rFonts w:ascii="微软雅黑" w:hAnsi="微软雅黑" w:eastAsia="微软雅黑"/>
          <w:color w:val="000000"/>
          <w:sz w:val="28"/>
          <w:szCs w:val="28"/>
        </w:rPr>
        <w:t>/</w:t>
      </w:r>
      <w:r>
        <w:rPr>
          <w:rFonts w:hint="eastAsia" w:ascii="微软雅黑" w:hAnsi="微软雅黑" w:eastAsia="微软雅黑"/>
          <w:color w:val="000000"/>
          <w:sz w:val="28"/>
          <w:szCs w:val="28"/>
        </w:rPr>
        <w:t>稀释液（</w:t>
      </w:r>
      <w:r>
        <w:rPr>
          <w:rFonts w:ascii="微软雅黑" w:hAnsi="微软雅黑" w:eastAsia="微软雅黑"/>
          <w:color w:val="000000"/>
          <w:sz w:val="28"/>
          <w:szCs w:val="28"/>
        </w:rPr>
        <w:t>20</w:t>
      </w:r>
      <w:r>
        <w:rPr>
          <w:rFonts w:hint="eastAsia" w:ascii="微软雅黑" w:hAnsi="微软雅黑" w:eastAsia="微软雅黑"/>
          <w:color w:val="000000"/>
          <w:sz w:val="28"/>
          <w:szCs w:val="28"/>
        </w:rPr>
        <w:t>×）有晶体析出，需在</w:t>
      </w:r>
      <w:r>
        <w:rPr>
          <w:rFonts w:ascii="微软雅黑" w:hAnsi="微软雅黑" w:eastAsia="微软雅黑"/>
          <w:color w:val="000000"/>
          <w:sz w:val="28"/>
          <w:szCs w:val="28"/>
        </w:rPr>
        <w:t>37</w:t>
      </w:r>
      <w:r>
        <w:rPr>
          <w:rFonts w:hint="eastAsia" w:ascii="微软雅黑" w:hAnsi="微软雅黑" w:eastAsia="微软雅黑"/>
          <w:color w:val="000000"/>
          <w:sz w:val="28"/>
          <w:szCs w:val="28"/>
        </w:rPr>
        <w:t>℃下加热⾄晶体全部溶解。用蒸馏水</w:t>
      </w:r>
      <w:r>
        <w:rPr>
          <w:rFonts w:ascii="微软雅黑" w:hAnsi="微软雅黑" w:eastAsia="微软雅黑"/>
          <w:color w:val="000000"/>
          <w:sz w:val="28"/>
          <w:szCs w:val="28"/>
        </w:rPr>
        <w:t>1:20</w:t>
      </w:r>
      <w:r>
        <w:rPr>
          <w:rFonts w:hint="eastAsia" w:ascii="微软雅黑" w:hAnsi="微软雅黑" w:eastAsia="微软雅黑"/>
          <w:color w:val="000000"/>
          <w:sz w:val="28"/>
          <w:szCs w:val="28"/>
        </w:rPr>
        <w:t>稀释（例如：</w:t>
      </w:r>
      <w:r>
        <w:rPr>
          <w:rFonts w:ascii="微软雅黑" w:hAnsi="微软雅黑" w:eastAsia="微软雅黑"/>
          <w:color w:val="000000"/>
          <w:sz w:val="28"/>
          <w:szCs w:val="28"/>
        </w:rPr>
        <w:t xml:space="preserve">1mL </w:t>
      </w:r>
      <w:r>
        <w:rPr>
          <w:rFonts w:hint="eastAsia" w:ascii="微软雅黑" w:hAnsi="微软雅黑" w:eastAsia="微软雅黑"/>
          <w:color w:val="000000"/>
          <w:sz w:val="28"/>
          <w:szCs w:val="28"/>
        </w:rPr>
        <w:t>浓缩洗涤液加入</w:t>
      </w:r>
      <w:r>
        <w:rPr>
          <w:rFonts w:ascii="微软雅黑" w:hAnsi="微软雅黑" w:eastAsia="微软雅黑"/>
          <w:color w:val="000000"/>
          <w:sz w:val="28"/>
          <w:szCs w:val="28"/>
        </w:rPr>
        <w:t>19mL</w:t>
      </w:r>
      <w:r>
        <w:rPr>
          <w:rFonts w:hint="eastAsia" w:ascii="微软雅黑" w:hAnsi="微软雅黑" w:eastAsia="微软雅黑"/>
          <w:color w:val="000000"/>
          <w:sz w:val="28"/>
          <w:szCs w:val="28"/>
        </w:rPr>
        <w:t>的蒸馏水）</w:t>
      </w:r>
    </w:p>
    <w:p w14:paraId="11F1A236">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标准品配置</w:t>
      </w:r>
      <w:r>
        <w:rPr>
          <w:rFonts w:hint="eastAsia" w:ascii="微软雅黑" w:hAnsi="微软雅黑" w:eastAsia="微软雅黑"/>
          <w:b/>
          <w:color w:val="000000"/>
          <w:sz w:val="28"/>
          <w:szCs w:val="28"/>
          <w:lang w:val="en-US" w:eastAsia="zh-CN"/>
        </w:rPr>
        <w:t xml:space="preserve"> </w:t>
      </w:r>
      <w:r>
        <w:rPr>
          <w:rFonts w:hint="eastAsia" w:ascii="微软雅黑" w:hAnsi="微软雅黑" w:eastAsia="微软雅黑"/>
          <w:b/>
          <w:color w:val="000000"/>
          <w:sz w:val="28"/>
          <w:szCs w:val="28"/>
        </w:rPr>
        <w:t>：</w:t>
      </w:r>
      <w:r>
        <w:rPr>
          <w:rFonts w:hint="eastAsia" w:ascii="微软雅黑" w:hAnsi="微软雅黑" w:eastAsia="微软雅黑"/>
          <w:color w:val="000000"/>
          <w:sz w:val="28"/>
          <w:szCs w:val="28"/>
        </w:rPr>
        <w:t>试剂盒中取出标准品</w:t>
      </w:r>
      <w:r>
        <w:rPr>
          <w:rFonts w:hint="eastAsia" w:ascii="微软雅黑" w:hAnsi="微软雅黑" w:eastAsia="微软雅黑"/>
          <w:color w:val="000000" w:themeColor="text1"/>
          <w:sz w:val="28"/>
          <w:szCs w:val="28"/>
          <w14:textFill>
            <w14:solidFill>
              <w14:schemeClr w14:val="tx1"/>
            </w14:solidFill>
          </w14:textFill>
        </w:rPr>
        <w:t>，准备7个试管，先从</w:t>
      </w:r>
      <w:r>
        <w:rPr>
          <w:rFonts w:hint="eastAsia" w:ascii="微软雅黑" w:hAnsi="微软雅黑" w:eastAsia="微软雅黑"/>
          <w:b w:val="0"/>
          <w:bCs w:val="0"/>
          <w:color w:val="F79646" w:themeColor="accent6"/>
          <w:sz w:val="28"/>
          <w:szCs w:val="28"/>
          <w:lang w:val="en-US" w:eastAsia="zh-CN"/>
          <w14:textFill>
            <w14:solidFill>
              <w14:schemeClr w14:val="accent6"/>
            </w14:solidFill>
          </w14:textFill>
        </w:rPr>
        <w:t>4</w:t>
      </w:r>
      <w:r>
        <w:rPr>
          <w:rFonts w:hint="eastAsia" w:ascii="微软雅黑" w:hAnsi="微软雅黑" w:eastAsia="微软雅黑"/>
          <w:b w:val="0"/>
          <w:bCs w:val="0"/>
          <w:color w:val="F79646" w:themeColor="accent6"/>
          <w:sz w:val="28"/>
          <w:szCs w:val="28"/>
          <w14:textFill>
            <w14:solidFill>
              <w14:schemeClr w14:val="accent6"/>
            </w14:solidFill>
          </w14:textFill>
        </w:rPr>
        <w:t>00ng/mL</w:t>
      </w:r>
      <w:r>
        <w:rPr>
          <w:rFonts w:hint="eastAsia" w:ascii="微软雅黑" w:hAnsi="微软雅黑" w:eastAsia="微软雅黑"/>
          <w:color w:val="000000" w:themeColor="text1"/>
          <w:sz w:val="28"/>
          <w:szCs w:val="28"/>
          <w14:textFill>
            <w14:solidFill>
              <w14:schemeClr w14:val="tx1"/>
            </w14:solidFill>
          </w14:textFill>
        </w:rPr>
        <w:t>标准品（200μL）按需吸取一定量用1×稀释液稀释至</w:t>
      </w:r>
      <w:r>
        <w:rPr>
          <w:rFonts w:hint="eastAsia" w:ascii="微软雅黑" w:hAnsi="微软雅黑" w:eastAsia="微软雅黑"/>
          <w:color w:val="000000" w:themeColor="text1"/>
          <w:sz w:val="28"/>
          <w:szCs w:val="28"/>
          <w:lang w:val="en-US" w:eastAsia="zh-CN"/>
          <w14:textFill>
            <w14:solidFill>
              <w14:schemeClr w14:val="tx1"/>
            </w14:solidFill>
          </w14:textFill>
        </w:rPr>
        <w:t>2</w:t>
      </w:r>
      <w:r>
        <w:rPr>
          <w:rFonts w:hint="eastAsia" w:ascii="微软雅黑" w:hAnsi="微软雅黑" w:eastAsia="微软雅黑"/>
          <w:color w:val="000000" w:themeColor="text1"/>
          <w:sz w:val="28"/>
          <w:szCs w:val="28"/>
          <w14:textFill>
            <w14:solidFill>
              <w14:schemeClr w14:val="tx1"/>
            </w14:solidFill>
          </w14:textFill>
        </w:rPr>
        <w:t>0ng/mL（例：50μL的标准品母液+950μL的1×稀释液，制备得到1000μL的</w:t>
      </w:r>
      <w:r>
        <w:rPr>
          <w:rFonts w:hint="eastAsia" w:ascii="微软雅黑" w:hAnsi="微软雅黑" w:eastAsia="微软雅黑"/>
          <w:color w:val="000000" w:themeColor="text1"/>
          <w:sz w:val="28"/>
          <w:szCs w:val="28"/>
          <w:lang w:val="en-US" w:eastAsia="zh-CN"/>
          <w14:textFill>
            <w14:solidFill>
              <w14:schemeClr w14:val="tx1"/>
            </w14:solidFill>
          </w14:textFill>
        </w:rPr>
        <w:t>2</w:t>
      </w:r>
      <w:r>
        <w:rPr>
          <w:rFonts w:hint="eastAsia" w:ascii="微软雅黑" w:hAnsi="微软雅黑" w:eastAsia="微软雅黑"/>
          <w:color w:val="000000" w:themeColor="text1"/>
          <w:sz w:val="28"/>
          <w:szCs w:val="28"/>
          <w14:textFill>
            <w14:solidFill>
              <w14:schemeClr w14:val="tx1"/>
            </w14:solidFill>
          </w14:textFill>
        </w:rPr>
        <w:t>0ng/mL浓度标准品），随后在6个试管中分别加入500μL的1×稀释液，在这6个单独的试管中将</w:t>
      </w:r>
      <w:r>
        <w:rPr>
          <w:rFonts w:hint="eastAsia" w:ascii="微软雅黑" w:hAnsi="微软雅黑" w:eastAsia="微软雅黑"/>
          <w:color w:val="000000" w:themeColor="text1"/>
          <w:sz w:val="28"/>
          <w:szCs w:val="28"/>
          <w:lang w:val="en-US" w:eastAsia="zh-CN"/>
          <w14:textFill>
            <w14:solidFill>
              <w14:schemeClr w14:val="tx1"/>
            </w14:solidFill>
          </w14:textFill>
        </w:rPr>
        <w:t>20</w:t>
      </w:r>
      <w:r>
        <w:rPr>
          <w:rFonts w:hint="eastAsia" w:ascii="微软雅黑" w:hAnsi="微软雅黑" w:eastAsia="微软雅黑"/>
          <w:color w:val="000000" w:themeColor="text1"/>
          <w:sz w:val="28"/>
          <w:szCs w:val="28"/>
          <w14:textFill>
            <w14:solidFill>
              <w14:schemeClr w14:val="tx1"/>
            </w14:solidFill>
          </w14:textFill>
        </w:rPr>
        <w:t xml:space="preserve">ng/mL标准品依次2倍倍比稀释至6个梯度，共配制7个浓度的标准品，依次为: </w:t>
      </w:r>
      <w:r>
        <w:rPr>
          <w:rFonts w:hint="eastAsia" w:ascii="微软雅黑" w:hAnsi="微软雅黑" w:eastAsia="微软雅黑"/>
          <w:b/>
          <w:bCs/>
          <w:color w:val="F79646" w:themeColor="accent6"/>
          <w:sz w:val="28"/>
          <w:szCs w:val="28"/>
          <w14:textFill>
            <w14:solidFill>
              <w14:schemeClr w14:val="accent6"/>
            </w14:solidFill>
          </w14:textFill>
        </w:rPr>
        <w:t xml:space="preserve"> </w:t>
      </w:r>
      <w:r>
        <w:rPr>
          <w:rFonts w:hint="eastAsia" w:ascii="微软雅黑" w:hAnsi="微软雅黑" w:eastAsia="微软雅黑"/>
          <w:b w:val="0"/>
          <w:bCs w:val="0"/>
          <w:color w:val="F79646" w:themeColor="accent6"/>
          <w:sz w:val="28"/>
          <w:szCs w:val="28"/>
          <w14:textFill>
            <w14:solidFill>
              <w14:schemeClr w14:val="accent6"/>
            </w14:solidFill>
          </w14:textFill>
        </w:rPr>
        <w:t xml:space="preserve"> 20ng/mL、 10ng/mL、 5ng/mL、 2.5ng/mL、 1.25ng/mL、 0.625ng/mL、 0.313ng/mL，</w:t>
      </w:r>
      <w:r>
        <w:rPr>
          <w:rFonts w:hint="eastAsia" w:ascii="微软雅黑" w:hAnsi="微软雅黑" w:eastAsia="微软雅黑"/>
          <w:color w:val="000000" w:themeColor="text1"/>
          <w:sz w:val="28"/>
          <w:szCs w:val="28"/>
          <w14:textFill>
            <w14:solidFill>
              <w14:schemeClr w14:val="tx1"/>
            </w14:solidFill>
          </w14:textFill>
        </w:rPr>
        <w:t>从最高浓度标准品溶液中吸取500μL标准品到下一个试管中，轻轻吹打混匀，以此类推进行标准品的倍比稀释（如图所示），1×稀释液用作零浓度标准品(0ng/mL)。</w:t>
      </w:r>
      <w:r>
        <w:rPr>
          <w:rFonts w:hint="eastAsia" w:ascii="微软雅黑" w:hAnsi="微软雅黑" w:eastAsia="微软雅黑"/>
          <w:color w:val="000000" w:themeColor="text1"/>
          <w:sz w:val="28"/>
          <w:szCs w:val="28"/>
          <w14:textFill>
            <w14:solidFill>
              <w14:schemeClr w14:val="tx1"/>
            </w14:solidFill>
          </w14:textFill>
        </w:rPr>
        <w:br w:type="textWrapping"/>
      </w:r>
    </w:p>
    <w:p w14:paraId="7DE89F78">
      <w:pPr>
        <w:pStyle w:val="23"/>
        <w:jc w:val="center"/>
        <w:rPr>
          <w:rFonts w:hint="eastAsia" w:eastAsia="宋体"/>
          <w:lang w:eastAsia="zh-CN"/>
        </w:rPr>
      </w:pPr>
      <w:r>
        <w:drawing>
          <wp:inline distT="0" distB="0" distL="114300" distR="114300">
            <wp:extent cx="6147435" cy="2159635"/>
            <wp:effectExtent l="0" t="0" r="5715" b="12065"/>
            <wp:docPr id="1002" name="Picture 892767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Picture 892767923"/>
                    <pic:cNvPicPr>
                      <a:picLocks noChangeAspect="1"/>
                    </pic:cNvPicPr>
                  </pic:nvPicPr>
                  <pic:blipFill>
                    <a:blip r:embed="rId9"/>
                    <a:stretch>
                      <a:fillRect/>
                    </a:stretch>
                  </pic:blipFill>
                  <pic:spPr>
                    <a:xfrm>
                      <a:off x="0" y="0"/>
                      <a:ext cx="6147435" cy="2160000"/>
                    </a:xfrm>
                    <a:prstGeom prst="rect">
                      <a:avLst/>
                    </a:prstGeom>
                  </pic:spPr>
                </pic:pic>
              </a:graphicData>
            </a:graphic>
          </wp:inline>
        </w:drawing>
      </w:r>
    </w:p>
    <w:p w14:paraId="603AC517">
      <w:pPr>
        <w:pStyle w:val="17"/>
        <w:rPr>
          <w:rFonts w:hint="eastAsia" w:ascii="微软雅黑" w:hAnsi="微软雅黑" w:eastAsia="微软雅黑" w:cs="微软雅黑"/>
          <w:sz w:val="28"/>
          <w:szCs w:val="28"/>
        </w:rPr>
      </w:pPr>
    </w:p>
    <w:p w14:paraId="49A7DEFE">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 xml:space="preserve">抗体工作液配置 </w:t>
      </w:r>
      <w:r>
        <w:rPr>
          <w:rFonts w:ascii="微软雅黑" w:hAnsi="微软雅黑" w:eastAsia="微软雅黑"/>
          <w:b/>
          <w:color w:val="000000"/>
          <w:sz w:val="28"/>
          <w:szCs w:val="28"/>
        </w:rPr>
        <w:t>:</w:t>
      </w:r>
      <w:r>
        <w:rPr>
          <w:rFonts w:hint="eastAsia" w:ascii="微软雅黑" w:hAnsi="微软雅黑" w:eastAsia="微软雅黑"/>
          <w:color w:val="000000"/>
          <w:sz w:val="28"/>
          <w:szCs w:val="28"/>
        </w:rPr>
        <w:t xml:space="preserve"> 使用前10分钟，将100×生物素化抗体于</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离心1分钟，随后用1×稀释液将100×生物素化抗体稀释成1×生物素化抗体工作液，根据所需用量当日配置当日使用。</w:t>
      </w:r>
    </w:p>
    <w:p w14:paraId="482295BB">
      <w:pPr>
        <w:pStyle w:val="23"/>
        <w:ind w:firstLine="560" w:firstLineChars="200"/>
        <w:rPr>
          <w:sz w:val="28"/>
          <w:szCs w:val="28"/>
        </w:rPr>
      </w:pPr>
      <w:r>
        <w:rPr>
          <w:rFonts w:hint="eastAsia"/>
          <w:sz w:val="28"/>
          <w:szCs w:val="28"/>
        </w:rPr>
        <w:t xml:space="preserve"> </w:t>
      </w:r>
      <w:r>
        <w:rPr>
          <w:rFonts w:hint="eastAsia" w:ascii="微软雅黑" w:hAnsi="微软雅黑" w:eastAsia="微软雅黑"/>
          <w:b/>
          <w:color w:val="000000"/>
          <w:sz w:val="28"/>
          <w:szCs w:val="28"/>
        </w:rPr>
        <w:t xml:space="preserve">酶结合物工作液配置 : </w:t>
      </w:r>
      <w:r>
        <w:rPr>
          <w:rFonts w:hint="eastAsia" w:ascii="微软雅黑" w:hAnsi="微软雅黑" w:eastAsia="微软雅黑"/>
          <w:color w:val="000000"/>
          <w:sz w:val="28"/>
          <w:szCs w:val="28"/>
        </w:rPr>
        <w:t>使用前10分钟，将100×SA-HRP溶液于</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离心1分钟，随后用1×稀释液将100×SA-HRP稀释成1×SA-HRP工作液，根据所需用量配置。</w:t>
      </w:r>
    </w:p>
    <w:p w14:paraId="71D71081">
      <w:pPr>
        <w:pStyle w:val="23"/>
        <w:spacing w:after="240"/>
        <w:ind w:firstLine="560" w:firstLineChars="200"/>
      </w:pPr>
      <w:r>
        <w:rPr>
          <w:rFonts w:hint="eastAsia" w:ascii="微软雅黑" w:hAnsi="微软雅黑" w:eastAsia="微软雅黑"/>
          <w:b/>
          <w:color w:val="000000"/>
          <w:sz w:val="28"/>
          <w:szCs w:val="28"/>
        </w:rPr>
        <w:t>备注：</w:t>
      </w:r>
      <w:bookmarkStart w:id="10" w:name="_Toc164420464"/>
      <w:r>
        <w:rPr>
          <w:rFonts w:hint="eastAsia" w:ascii="微软雅黑" w:hAnsi="微软雅黑" w:eastAsia="微软雅黑"/>
          <w:color w:val="000000"/>
          <w:sz w:val="28"/>
          <w:szCs w:val="28"/>
        </w:rPr>
        <w:t>如待测样本中</w:t>
      </w:r>
      <w:r>
        <w:rPr>
          <w:rFonts w:hint="eastAsia" w:ascii="微软雅黑" w:hAnsi="微软雅黑" w:eastAsia="微软雅黑"/>
          <w:color w:val="000000" w:themeColor="text1"/>
          <w:sz w:val="28"/>
          <w:szCs w:val="28"/>
          <w:lang w:eastAsia="zh-CN"/>
          <w14:textFill>
            <w14:solidFill>
              <w14:schemeClr w14:val="tx1"/>
            </w14:solidFill>
          </w14:textFill>
        </w:rPr>
        <w:t>CK-MB</w:t>
      </w:r>
      <w:r>
        <w:rPr>
          <w:rFonts w:hint="eastAsia" w:ascii="微软雅黑" w:hAnsi="微软雅黑" w:eastAsia="微软雅黑"/>
          <w:color w:val="000000"/>
          <w:sz w:val="28"/>
          <w:szCs w:val="28"/>
        </w:rPr>
        <w:t>浓度高于标准品最高值，请根据实际情况选择适当的稀释倍数。</w:t>
      </w:r>
    </w:p>
    <w:p w14:paraId="62A12271">
      <w:pPr>
        <w:pStyle w:val="10"/>
        <w:rPr>
          <w:rFonts w:hint="eastAsia"/>
          <w:color w:val="E46C0A" w:themeColor="accent6" w:themeShade="BF"/>
        </w:rPr>
      </w:pPr>
      <w:r>
        <w:rPr>
          <w:rFonts w:hint="eastAsia"/>
          <w:color w:val="E46C0A" w:themeColor="accent6" w:themeShade="BF"/>
        </w:rPr>
        <w:br w:type="textWrapping"/>
      </w:r>
      <w:r>
        <w:rPr>
          <w:rFonts w:hint="eastAsia"/>
          <w:color w:val="auto"/>
          <w:u w:val="single"/>
        </w:rPr>
        <w:t>实验步骤</w:t>
      </w:r>
      <w:bookmarkEnd w:id="10"/>
    </w:p>
    <w:p w14:paraId="5AB3335F">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bCs/>
          <w:color w:val="auto"/>
          <w:sz w:val="28"/>
          <w:szCs w:val="28"/>
        </w:rPr>
        <w:t>所有标准品、样品建议复孔检测</w:t>
      </w:r>
      <w:bookmarkStart w:id="11" w:name="_Toc164420465"/>
    </w:p>
    <w:p w14:paraId="27C6BA0D">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酶标板准备：确定试验所需要的孔数，取下未使用的酶标条放回装有干燥剂的铝箔袋。</w:t>
      </w:r>
    </w:p>
    <w:p w14:paraId="0DDC45D7">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样本孵育：每孔分别加入100μL不同浓度的标准品以及预处理过的待测样品（建议样本用通用稀释液最少稀释1倍上样，目的是减少基质效应），盖上封板胶纸，37℃避光反应1 h。孵育结束后，每孔加入300μL 1×洗涤缓冲液，轻轻晃动30秒，甩干并在纸上拍干，以这种方式清洗3次。</w:t>
      </w:r>
    </w:p>
    <w:p w14:paraId="566FF6A9">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抗体孵育：每孔加入100μL生物素化抗体工作液，轻轻混匀，盖上封板胶纸，37℃避光反应1h。孵育结束后，重复步骤2中的清洗方式清洗4次。</w:t>
      </w:r>
    </w:p>
    <w:p w14:paraId="20569C05">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酶标孵育：每孔加入100μL 1×SA-HRP工作液，盖上封板胶纸，37℃避光反应30分钟，清洗4次，拍干。</w:t>
      </w:r>
    </w:p>
    <w:p w14:paraId="35AC3180">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底物显色：每孔首先加入50μL显色液A，随后加入50μL显色液B，轻轻混匀，盖上封板胶纸，37℃避光反应15分钟。</w:t>
      </w:r>
    </w:p>
    <w:p w14:paraId="29F3D27E">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终止反应：待显色反应结束后，每孔加入50μL终止液，轻轻混匀，5分钟内用预热完成的酶标仪在450nm处测吸光值。</w:t>
      </w:r>
    </w:p>
    <w:p w14:paraId="09DF0132">
      <w:pPr>
        <w:pStyle w:val="10"/>
        <w:rPr>
          <w:rFonts w:hint="eastAsia" w:ascii="微软雅黑" w:hAnsi="微软雅黑" w:eastAsia="微软雅黑" w:cs="微软雅黑"/>
          <w:b/>
          <w:bCs/>
          <w:color w:val="auto"/>
          <w:sz w:val="32"/>
          <w:szCs w:val="32"/>
          <w:u w:val="single"/>
        </w:rPr>
      </w:pPr>
      <w:r>
        <w:rPr>
          <w:rFonts w:hint="eastAsia" w:ascii="微软雅黑" w:hAnsi="微软雅黑" w:eastAsia="微软雅黑" w:cs="微软雅黑"/>
          <w:b/>
          <w:bCs/>
          <w:color w:val="auto"/>
          <w:sz w:val="32"/>
          <w:szCs w:val="32"/>
          <w:u w:val="single"/>
        </w:rPr>
        <w:t>结果的计算</w:t>
      </w:r>
      <w:bookmarkEnd w:id="11"/>
    </w:p>
    <w:p w14:paraId="4B3D9156">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计算标准品和样本复孔的平均OD值并减去空白孔的OD值作为校正值。以浓度为横坐标，OD值为纵坐标，在坐标纸上绘出四参数逻辑函数的标准曲线(作图时去掉空白组的值)。或者使用能够生成四参数逻辑（4-P）曲线拟合的计算机软件来创建标准曲线。</w:t>
      </w:r>
    </w:p>
    <w:p w14:paraId="13FD7699">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若样品OD值高于标准曲线上限，应适当稀释后重测并在计算样本浓度时乘以相应的稀释倍数。</w:t>
      </w:r>
      <w:bookmarkStart w:id="12" w:name="_Toc164420466"/>
    </w:p>
    <w:p w14:paraId="7DBB83B3">
      <w:pPr>
        <w:pStyle w:val="10"/>
        <w:rPr>
          <w:rFonts w:hint="eastAsia"/>
          <w:color w:val="558ED5" w:themeColor="text2" w:themeTint="99"/>
          <w14:textFill>
            <w14:solidFill>
              <w14:schemeClr w14:val="tx2">
                <w14:lumMod w14:val="60000"/>
                <w14:lumOff w14:val="40000"/>
              </w14:schemeClr>
            </w14:solidFill>
          </w14:textFill>
        </w:rPr>
      </w:pPr>
      <w:r>
        <w:rPr>
          <w:rFonts w:hint="eastAsia"/>
          <w:color w:val="auto"/>
          <w:u w:val="single"/>
        </w:rPr>
        <w:t>示例数据</w:t>
      </w:r>
      <w:bookmarkEnd w:id="12"/>
    </w:p>
    <w:p w14:paraId="1DB86C1B">
      <w:pPr>
        <w:rPr>
          <w:rFonts w:hint="eastAsia" w:ascii="微软雅黑" w:hAnsi="微软雅黑" w:eastAsia="微软雅黑" w:cs="微软雅黑"/>
          <w:b/>
          <w:bCs/>
          <w:color w:val="000000" w:themeColor="text1"/>
          <w:sz w:val="28"/>
          <w:szCs w:val="28"/>
          <w14:textFill>
            <w14:solidFill>
              <w14:schemeClr w14:val="tx1"/>
            </w14:solidFill>
          </w14:textFill>
        </w:rPr>
      </w:pPr>
      <w:r>
        <w:rPr>
          <w:rFonts w:hint="eastAsia" w:ascii="微软雅黑" w:hAnsi="微软雅黑" w:eastAsia="微软雅黑" w:cs="微软雅黑"/>
          <w:b/>
          <w:bCs/>
          <w:color w:val="000000" w:themeColor="text1"/>
          <w:sz w:val="28"/>
          <w:szCs w:val="28"/>
          <w14:textFill>
            <w14:solidFill>
              <w14:schemeClr w14:val="tx1"/>
            </w14:solidFill>
          </w14:textFill>
        </w:rPr>
        <w:t>以下数据和曲线仅供参考，实验者需根据自己的实验数据建立标准曲线。</w:t>
      </w:r>
    </w:p>
    <w:tbl>
      <w:tblPr>
        <w:tblStyle w:val="11"/>
        <w:tblW w:w="1081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749"/>
        <w:gridCol w:w="1270"/>
        <w:gridCol w:w="1021"/>
        <w:gridCol w:w="1020"/>
        <w:gridCol w:w="1167"/>
        <w:gridCol w:w="1167"/>
        <w:gridCol w:w="1167"/>
        <w:gridCol w:w="1237"/>
        <w:gridCol w:w="1020"/>
      </w:tblGrid>
      <w:tr w14:paraId="293D4F5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37" w:hRule="atLeast"/>
          <w:jc w:val="center"/>
        </w:trPr>
        <w:tc>
          <w:tcPr>
            <w:tcW w:w="1749" w:type="dxa"/>
            <w:noWrap/>
            <w:vAlign w:val="center"/>
          </w:tcPr>
          <w:p w14:paraId="471807D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标准品浓度</w:t>
            </w:r>
            <w:r>
              <w:rPr>
                <w:rFonts w:hint="eastAsia" w:ascii="微软雅黑" w:hAnsi="微软雅黑" w:eastAsia="微软雅黑" w:cs="微软雅黑"/>
                <w:b w:val="0"/>
                <w:bCs w:val="0"/>
                <w:color w:val="000000" w:themeColor="text1"/>
                <w:sz w:val="24"/>
                <w:szCs w:val="24"/>
                <w14:textFill>
                  <w14:solidFill>
                    <w14:schemeClr w14:val="tx1"/>
                  </w14:solidFill>
                </w14:textFill>
              </w:rPr>
              <w:t>(ng/mL)</w:t>
            </w:r>
          </w:p>
        </w:tc>
        <w:tc>
          <w:tcPr>
            <w:tcW w:w="1270" w:type="dxa"/>
            <w:noWrap/>
            <w:vAlign w:val="center"/>
          </w:tcPr>
          <w:p w14:paraId="7FF2DB76">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b w:val="0"/>
                <w:bCs w:val="0"/>
                <w:color w:val="000000" w:themeColor="text1"/>
                <w:sz w:val="24"/>
                <w:szCs w:val="24"/>
                <w:lang w:val="en-US" w:eastAsia="zh-CN"/>
                <w14:textFill>
                  <w14:solidFill>
                    <w14:schemeClr w14:val="tx1"/>
                  </w14:solidFill>
                </w14:textFill>
              </w:rPr>
              <w:t>20</w:t>
            </w:r>
          </w:p>
        </w:tc>
        <w:tc>
          <w:tcPr>
            <w:tcW w:w="1021" w:type="dxa"/>
            <w:noWrap/>
            <w:vAlign w:val="center"/>
          </w:tcPr>
          <w:p w14:paraId="22DA3BD3">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b w:val="0"/>
                <w:bCs w:val="0"/>
                <w:color w:val="000000" w:themeColor="text1"/>
                <w:sz w:val="24"/>
                <w:szCs w:val="24"/>
                <w:lang w:val="en-US" w:eastAsia="zh-CN"/>
                <w14:textFill>
                  <w14:solidFill>
                    <w14:schemeClr w14:val="tx1"/>
                  </w14:solidFill>
                </w14:textFill>
              </w:rPr>
              <w:t>10</w:t>
            </w:r>
          </w:p>
        </w:tc>
        <w:tc>
          <w:tcPr>
            <w:tcW w:w="1020" w:type="dxa"/>
            <w:noWrap/>
            <w:vAlign w:val="center"/>
          </w:tcPr>
          <w:p w14:paraId="2935CE2B">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b w:val="0"/>
                <w:bCs w:val="0"/>
                <w:color w:val="000000" w:themeColor="text1"/>
                <w:sz w:val="24"/>
                <w:szCs w:val="24"/>
                <w:lang w:val="en-US" w:eastAsia="zh-CN"/>
                <w14:textFill>
                  <w14:solidFill>
                    <w14:schemeClr w14:val="tx1"/>
                  </w14:solidFill>
                </w14:textFill>
              </w:rPr>
              <w:t>5</w:t>
            </w:r>
          </w:p>
        </w:tc>
        <w:tc>
          <w:tcPr>
            <w:tcW w:w="1167" w:type="dxa"/>
            <w:noWrap/>
            <w:vAlign w:val="center"/>
          </w:tcPr>
          <w:p w14:paraId="10330A29">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b w:val="0"/>
                <w:bCs w:val="0"/>
                <w:color w:val="000000" w:themeColor="text1"/>
                <w:sz w:val="24"/>
                <w:szCs w:val="24"/>
                <w:lang w:val="en-US" w:eastAsia="zh-CN"/>
                <w14:textFill>
                  <w14:solidFill>
                    <w14:schemeClr w14:val="tx1"/>
                  </w14:solidFill>
                </w14:textFill>
              </w:rPr>
              <w:t>2.5</w:t>
            </w:r>
          </w:p>
        </w:tc>
        <w:tc>
          <w:tcPr>
            <w:tcW w:w="1167" w:type="dxa"/>
            <w:noWrap/>
            <w:vAlign w:val="center"/>
          </w:tcPr>
          <w:p w14:paraId="111985C3">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b w:val="0"/>
                <w:bCs w:val="0"/>
                <w:color w:val="000000" w:themeColor="text1"/>
                <w:sz w:val="24"/>
                <w:szCs w:val="24"/>
                <w:lang w:val="en-US" w:eastAsia="zh-CN"/>
                <w14:textFill>
                  <w14:solidFill>
                    <w14:schemeClr w14:val="tx1"/>
                  </w14:solidFill>
                </w14:textFill>
              </w:rPr>
              <w:t>1.25</w:t>
            </w:r>
          </w:p>
        </w:tc>
        <w:tc>
          <w:tcPr>
            <w:tcW w:w="1167" w:type="dxa"/>
            <w:noWrap/>
            <w:vAlign w:val="center"/>
          </w:tcPr>
          <w:p w14:paraId="1B2D4C87">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b w:val="0"/>
                <w:bCs w:val="0"/>
                <w:color w:val="000000" w:themeColor="text1"/>
                <w:sz w:val="24"/>
                <w:szCs w:val="24"/>
                <w:lang w:val="en-US" w:eastAsia="zh-CN"/>
                <w14:textFill>
                  <w14:solidFill>
                    <w14:schemeClr w14:val="tx1"/>
                  </w14:solidFill>
                </w14:textFill>
              </w:rPr>
              <w:t>0.625</w:t>
            </w:r>
          </w:p>
        </w:tc>
        <w:tc>
          <w:tcPr>
            <w:tcW w:w="1237" w:type="dxa"/>
            <w:noWrap/>
            <w:vAlign w:val="center"/>
          </w:tcPr>
          <w:p w14:paraId="33DDA3D8">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b w:val="0"/>
                <w:bCs w:val="0"/>
                <w:color w:val="000000" w:themeColor="text1"/>
                <w:sz w:val="24"/>
                <w:szCs w:val="24"/>
                <w:lang w:val="en-US" w:eastAsia="zh-CN"/>
                <w14:textFill>
                  <w14:solidFill>
                    <w14:schemeClr w14:val="tx1"/>
                  </w14:solidFill>
                </w14:textFill>
              </w:rPr>
              <w:t>0.313</w:t>
            </w:r>
          </w:p>
        </w:tc>
        <w:tc>
          <w:tcPr>
            <w:tcW w:w="1020" w:type="dxa"/>
            <w:noWrap/>
            <w:vAlign w:val="center"/>
          </w:tcPr>
          <w:p w14:paraId="58E37646">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cs="宋体"/>
                <w:b w:val="0"/>
                <w:bCs w:val="0"/>
                <w:color w:val="000000" w:themeColor="text1"/>
                <w:sz w:val="24"/>
                <w:szCs w:val="24"/>
                <w14:textFill>
                  <w14:solidFill>
                    <w14:schemeClr w14:val="tx1"/>
                  </w14:solidFill>
                </w14:textFill>
              </w:rPr>
              <w:t>0</w:t>
            </w:r>
          </w:p>
        </w:tc>
      </w:tr>
      <w:tr w14:paraId="1E13A14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0" w:hRule="atLeast"/>
          <w:jc w:val="center"/>
        </w:trPr>
        <w:tc>
          <w:tcPr>
            <w:tcW w:w="1749" w:type="dxa"/>
            <w:noWrap/>
            <w:vAlign w:val="center"/>
          </w:tcPr>
          <w:p w14:paraId="3019BCBC">
            <w:pPr>
              <w:jc w:val="center"/>
              <w:rPr>
                <w:rFonts w:hint="eastAsia" w:ascii="微软雅黑" w:hAnsi="微软雅黑" w:eastAsia="微软雅黑" w:cs="微软雅黑"/>
                <w:b w:val="0"/>
                <w:bCs w:val="0"/>
                <w:color w:val="auto"/>
                <w:sz w:val="24"/>
                <w:szCs w:val="24"/>
              </w:rPr>
            </w:pPr>
            <w:bookmarkStart w:id="13" w:name="OLE_LINK2" w:colFirst="1" w:colLast="7"/>
            <w:r>
              <w:rPr>
                <w:rFonts w:hint="eastAsia" w:ascii="微软雅黑" w:hAnsi="微软雅黑" w:eastAsia="微软雅黑" w:cs="微软雅黑"/>
                <w:b w:val="0"/>
                <w:bCs w:val="0"/>
                <w:color w:val="auto"/>
                <w:sz w:val="24"/>
                <w:szCs w:val="24"/>
              </w:rPr>
              <w:t>OD值</w:t>
            </w:r>
          </w:p>
        </w:tc>
        <w:tc>
          <w:tcPr>
            <w:tcW w:w="1270" w:type="dxa"/>
            <w:noWrap/>
            <w:vAlign w:val="center"/>
          </w:tcPr>
          <w:p w14:paraId="666A4300">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b w:val="0"/>
                <w:bCs w:val="0"/>
                <w:color w:val="auto"/>
                <w:sz w:val="24"/>
                <w:szCs w:val="24"/>
                <w:lang w:val="en-US" w:eastAsia="zh-CN"/>
              </w:rPr>
              <w:t>2.421</w:t>
            </w:r>
          </w:p>
        </w:tc>
        <w:tc>
          <w:tcPr>
            <w:tcW w:w="1021" w:type="dxa"/>
            <w:noWrap/>
            <w:vAlign w:val="center"/>
          </w:tcPr>
          <w:p w14:paraId="15993483">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b w:val="0"/>
                <w:bCs w:val="0"/>
                <w:color w:val="auto"/>
                <w:sz w:val="24"/>
                <w:szCs w:val="24"/>
                <w:lang w:val="en-US" w:eastAsia="zh-CN"/>
              </w:rPr>
              <w:t>1.605</w:t>
            </w:r>
          </w:p>
        </w:tc>
        <w:tc>
          <w:tcPr>
            <w:tcW w:w="1020" w:type="dxa"/>
            <w:noWrap/>
            <w:vAlign w:val="center"/>
          </w:tcPr>
          <w:p w14:paraId="31805371">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b w:val="0"/>
                <w:bCs w:val="0"/>
                <w:color w:val="auto"/>
                <w:sz w:val="24"/>
                <w:szCs w:val="24"/>
                <w:lang w:val="en-US" w:eastAsia="zh-CN"/>
              </w:rPr>
              <w:t>1.003</w:t>
            </w:r>
          </w:p>
        </w:tc>
        <w:tc>
          <w:tcPr>
            <w:tcW w:w="1167" w:type="dxa"/>
            <w:noWrap/>
            <w:vAlign w:val="center"/>
          </w:tcPr>
          <w:p w14:paraId="230DE554">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b w:val="0"/>
                <w:bCs w:val="0"/>
                <w:color w:val="auto"/>
                <w:sz w:val="24"/>
                <w:szCs w:val="24"/>
                <w:lang w:val="en-US" w:eastAsia="zh-CN"/>
              </w:rPr>
              <w:t>0.608</w:t>
            </w:r>
          </w:p>
        </w:tc>
        <w:tc>
          <w:tcPr>
            <w:tcW w:w="1167" w:type="dxa"/>
            <w:noWrap/>
            <w:vAlign w:val="center"/>
          </w:tcPr>
          <w:p w14:paraId="672381BC">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b w:val="0"/>
                <w:bCs w:val="0"/>
                <w:color w:val="auto"/>
                <w:sz w:val="24"/>
                <w:szCs w:val="24"/>
                <w:lang w:val="en-US" w:eastAsia="zh-CN"/>
              </w:rPr>
              <w:t>0.515</w:t>
            </w:r>
          </w:p>
        </w:tc>
        <w:tc>
          <w:tcPr>
            <w:tcW w:w="1167" w:type="dxa"/>
            <w:noWrap/>
            <w:vAlign w:val="center"/>
          </w:tcPr>
          <w:p w14:paraId="5834E84E">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b w:val="0"/>
                <w:bCs w:val="0"/>
                <w:color w:val="auto"/>
                <w:sz w:val="24"/>
                <w:szCs w:val="24"/>
                <w:lang w:val="en-US" w:eastAsia="zh-CN"/>
              </w:rPr>
              <w:t>0.207</w:t>
            </w:r>
          </w:p>
        </w:tc>
        <w:tc>
          <w:tcPr>
            <w:tcW w:w="1237" w:type="dxa"/>
            <w:noWrap/>
            <w:vAlign w:val="center"/>
          </w:tcPr>
          <w:p w14:paraId="00C0DE78">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b w:val="0"/>
                <w:bCs w:val="0"/>
                <w:color w:val="auto"/>
                <w:sz w:val="24"/>
                <w:szCs w:val="24"/>
                <w:lang w:val="en-US" w:eastAsia="zh-CN"/>
              </w:rPr>
              <w:t>0.173</w:t>
            </w:r>
          </w:p>
        </w:tc>
        <w:tc>
          <w:tcPr>
            <w:tcW w:w="1020" w:type="dxa"/>
            <w:noWrap/>
            <w:vAlign w:val="center"/>
          </w:tcPr>
          <w:p w14:paraId="022344D0">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b w:val="0"/>
                <w:bCs w:val="0"/>
                <w:color w:val="auto"/>
                <w:sz w:val="24"/>
                <w:szCs w:val="24"/>
                <w:lang w:val="en-US" w:eastAsia="zh-CN"/>
              </w:rPr>
              <w:t>0.063</w:t>
            </w:r>
          </w:p>
        </w:tc>
      </w:tr>
      <w:tr w14:paraId="2FFAEE8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09" w:hRule="atLeast"/>
          <w:jc w:val="center"/>
        </w:trPr>
        <w:tc>
          <w:tcPr>
            <w:tcW w:w="1749" w:type="dxa"/>
            <w:noWrap/>
            <w:vAlign w:val="center"/>
          </w:tcPr>
          <w:p w14:paraId="721EEB3B">
            <w:pPr>
              <w:jc w:val="center"/>
              <w:rPr>
                <w:rFonts w:hint="eastAsia" w:ascii="微软雅黑" w:hAnsi="微软雅黑" w:eastAsia="微软雅黑" w:cs="微软雅黑"/>
                <w:b w:val="0"/>
                <w:bCs w:val="0"/>
                <w:color w:val="auto"/>
                <w:sz w:val="24"/>
                <w:szCs w:val="24"/>
              </w:rPr>
            </w:pPr>
            <w:bookmarkStart w:id="14" w:name="_Hlk184659219"/>
            <w:r>
              <w:rPr>
                <w:rFonts w:hint="eastAsia" w:ascii="微软雅黑" w:hAnsi="微软雅黑" w:eastAsia="微软雅黑" w:cs="微软雅黑"/>
                <w:b w:val="0"/>
                <w:bCs w:val="0"/>
                <w:color w:val="auto"/>
                <w:sz w:val="24"/>
                <w:szCs w:val="24"/>
              </w:rPr>
              <w:t>校正OD值</w:t>
            </w:r>
          </w:p>
        </w:tc>
        <w:tc>
          <w:tcPr>
            <w:tcW w:w="1270" w:type="dxa"/>
            <w:noWrap/>
            <w:vAlign w:val="center"/>
          </w:tcPr>
          <w:p w14:paraId="27331E19">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b w:val="0"/>
                <w:bCs w:val="0"/>
                <w:color w:val="auto"/>
                <w:sz w:val="24"/>
                <w:szCs w:val="24"/>
                <w:lang w:val="en-US" w:eastAsia="zh-CN"/>
              </w:rPr>
              <w:t>2.358</w:t>
            </w:r>
          </w:p>
        </w:tc>
        <w:tc>
          <w:tcPr>
            <w:tcW w:w="1021" w:type="dxa"/>
            <w:noWrap/>
            <w:vAlign w:val="center"/>
          </w:tcPr>
          <w:p w14:paraId="6F167747">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b w:val="0"/>
                <w:bCs w:val="0"/>
                <w:color w:val="auto"/>
                <w:sz w:val="24"/>
                <w:szCs w:val="24"/>
                <w:lang w:val="en-US" w:eastAsia="zh-CN"/>
              </w:rPr>
              <w:t>1.542</w:t>
            </w:r>
          </w:p>
        </w:tc>
        <w:tc>
          <w:tcPr>
            <w:tcW w:w="1020" w:type="dxa"/>
            <w:noWrap/>
            <w:vAlign w:val="center"/>
          </w:tcPr>
          <w:p w14:paraId="4BEAC299">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b w:val="0"/>
                <w:bCs w:val="0"/>
                <w:color w:val="auto"/>
                <w:sz w:val="24"/>
                <w:szCs w:val="24"/>
                <w:lang w:val="en-US" w:eastAsia="zh-CN"/>
              </w:rPr>
              <w:t>0.94</w:t>
            </w:r>
          </w:p>
        </w:tc>
        <w:tc>
          <w:tcPr>
            <w:tcW w:w="1167" w:type="dxa"/>
            <w:noWrap/>
            <w:vAlign w:val="center"/>
          </w:tcPr>
          <w:p w14:paraId="08383F54">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b w:val="0"/>
                <w:bCs w:val="0"/>
                <w:color w:val="auto"/>
                <w:sz w:val="24"/>
                <w:szCs w:val="24"/>
                <w:lang w:val="en-US" w:eastAsia="zh-CN"/>
              </w:rPr>
              <w:t>0.545</w:t>
            </w:r>
          </w:p>
        </w:tc>
        <w:tc>
          <w:tcPr>
            <w:tcW w:w="1167" w:type="dxa"/>
            <w:noWrap/>
            <w:vAlign w:val="center"/>
          </w:tcPr>
          <w:p w14:paraId="70E22186">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b w:val="0"/>
                <w:bCs w:val="0"/>
                <w:color w:val="auto"/>
                <w:sz w:val="24"/>
                <w:szCs w:val="24"/>
                <w:lang w:val="en-US" w:eastAsia="zh-CN"/>
              </w:rPr>
              <w:t>0.452</w:t>
            </w:r>
          </w:p>
        </w:tc>
        <w:tc>
          <w:tcPr>
            <w:tcW w:w="1167" w:type="dxa"/>
            <w:noWrap/>
            <w:vAlign w:val="center"/>
          </w:tcPr>
          <w:p w14:paraId="2E2D11BC">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b w:val="0"/>
                <w:bCs w:val="0"/>
                <w:color w:val="auto"/>
                <w:sz w:val="24"/>
                <w:szCs w:val="24"/>
                <w:lang w:val="en-US" w:eastAsia="zh-CN"/>
              </w:rPr>
              <w:t>0.144</w:t>
            </w:r>
          </w:p>
        </w:tc>
        <w:tc>
          <w:tcPr>
            <w:tcW w:w="1237" w:type="dxa"/>
            <w:noWrap/>
            <w:vAlign w:val="center"/>
          </w:tcPr>
          <w:p w14:paraId="120E1D1C">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b w:val="0"/>
                <w:bCs w:val="0"/>
                <w:color w:val="auto"/>
                <w:sz w:val="24"/>
                <w:szCs w:val="24"/>
                <w:lang w:val="en-US" w:eastAsia="zh-CN"/>
              </w:rPr>
              <w:t>0.11</w:t>
            </w:r>
          </w:p>
        </w:tc>
        <w:tc>
          <w:tcPr>
            <w:tcW w:w="1020" w:type="dxa"/>
            <w:noWrap/>
            <w:vAlign w:val="center"/>
          </w:tcPr>
          <w:p w14:paraId="427F7D69">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r>
              <w:rPr>
                <w:rFonts w:hint="eastAsia" w:ascii="微软雅黑" w:hAnsi="微软雅黑" w:eastAsia="微软雅黑"/>
                <w:b w:val="0"/>
                <w:bCs w:val="0"/>
                <w:color w:val="auto"/>
                <w:sz w:val="24"/>
                <w:szCs w:val="24"/>
                <w:lang w:val="en-US" w:eastAsia="zh-CN"/>
              </w:rPr>
              <w:t>0.0</w:t>
            </w:r>
          </w:p>
        </w:tc>
      </w:tr>
      <w:bookmarkEnd w:id="13"/>
      <w:bookmarkEnd w:id="14"/>
    </w:tbl>
    <w:p w14:paraId="1AC3578A">
      <w:pPr>
        <w:jc w:val="both"/>
        <w:rPr>
          <w:rFonts w:hint="eastAsia" w:eastAsia="华文琥珀"/>
          <w:lang w:eastAsia="zh-CN"/>
        </w:rPr>
      </w:pPr>
    </w:p>
    <w:p w14:paraId="42BC4A59">
      <w:pPr>
        <w:jc w:val="both"/>
        <w:rPr>
          <w:rFonts w:hint="eastAsia" w:eastAsia="华文琥珀"/>
          <w:lang w:eastAsia="zh-CN"/>
        </w:rPr>
      </w:pPr>
    </w:p>
    <w:p w14:paraId="6F1C4011">
      <w:pPr>
        <w:jc w:val="center"/>
      </w:pPr>
      <w:r>
        <w:drawing>
          <wp:inline distT="0" distB="0" distL="114300" distR="114300">
            <wp:extent cx="3599815" cy="2699385"/>
            <wp:effectExtent l="0" t="0" r="635" b="5715"/>
            <wp:docPr id="1003" name="Picture 892767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Picture 892767923"/>
                    <pic:cNvPicPr>
                      <a:picLocks noChangeAspect="1"/>
                    </pic:cNvPicPr>
                  </pic:nvPicPr>
                  <pic:blipFill>
                    <a:blip r:embed="rId10"/>
                    <a:stretch>
                      <a:fillRect/>
                    </a:stretch>
                  </pic:blipFill>
                  <pic:spPr>
                    <a:xfrm>
                      <a:off x="0" y="0"/>
                      <a:ext cx="3600000" cy="2700000"/>
                    </a:xfrm>
                    <a:prstGeom prst="rect">
                      <a:avLst/>
                    </a:prstGeom>
                  </pic:spPr>
                </pic:pic>
              </a:graphicData>
            </a:graphic>
          </wp:inline>
        </w:drawing>
      </w:r>
    </w:p>
    <w:p w14:paraId="7184E04D">
      <w:pPr>
        <w:pStyle w:val="28"/>
        <w:jc w:val="left"/>
        <w:rPr>
          <w:rFonts w:hint="eastAsia"/>
          <w:b/>
          <w:bCs w:val="0"/>
        </w:rPr>
      </w:pPr>
      <w:r>
        <w:rPr>
          <w:rFonts w:hint="eastAsia"/>
          <w:b/>
          <w:bCs w:val="0"/>
        </w:rPr>
        <w:br w:type="textWrapping"/>
      </w:r>
      <w:r>
        <w:rPr>
          <w:rFonts w:hint="eastAsia"/>
          <w:b/>
          <w:bCs w:val="0"/>
        </w:rPr>
        <w:t>本图所示标准曲线仅供示例，结果计算应以同次试验标准品所绘标准曲线为准计算样本结果。</w:t>
      </w:r>
    </w:p>
    <w:p w14:paraId="141CC942">
      <w:pPr>
        <w:pStyle w:val="10"/>
        <w:rPr>
          <w:rFonts w:hint="eastAsia"/>
          <w:color w:val="auto"/>
          <w:u w:val="single"/>
        </w:rPr>
      </w:pPr>
      <w:r>
        <w:rPr>
          <w:rFonts w:hint="eastAsia"/>
          <w:color w:val="auto"/>
          <w:u w:val="single"/>
        </w:rPr>
        <w:t>重复性</w:t>
      </w:r>
    </w:p>
    <w:p w14:paraId="2F6194E3">
      <w:pPr>
        <w:pStyle w:val="10"/>
        <w:rPr>
          <w:rFonts w:hint="eastAsia"/>
          <w:b w:val="0"/>
          <w:bCs w:val="0"/>
          <w:color w:val="auto"/>
          <w:sz w:val="28"/>
          <w:szCs w:val="28"/>
        </w:rPr>
      </w:pPr>
      <w:bookmarkStart w:id="15" w:name="_Toc164420468"/>
      <w:r>
        <w:rPr>
          <w:rFonts w:hint="eastAsia"/>
          <w:b w:val="0"/>
          <w:bCs w:val="0"/>
          <w:color w:val="auto"/>
          <w:sz w:val="28"/>
          <w:szCs w:val="28"/>
        </w:rPr>
        <w:t>板内变异系数小于10%，板间变异系数小于10%。</w:t>
      </w:r>
    </w:p>
    <w:p w14:paraId="4D999860">
      <w:pPr>
        <w:pStyle w:val="10"/>
        <w:rPr>
          <w:rFonts w:hint="eastAsia"/>
          <w:color w:val="558ED5" w:themeColor="text2" w:themeTint="99"/>
          <w14:textFill>
            <w14:solidFill>
              <w14:schemeClr w14:val="tx2">
                <w14:lumMod w14:val="60000"/>
                <w14:lumOff w14:val="40000"/>
              </w14:schemeClr>
            </w14:solidFill>
          </w14:textFill>
        </w:rPr>
      </w:pPr>
      <w:r>
        <w:rPr>
          <w:rFonts w:hint="eastAsia"/>
          <w:color w:val="558ED5" w:themeColor="text2" w:themeTint="99"/>
          <w14:textFill>
            <w14:solidFill>
              <w14:schemeClr w14:val="tx2">
                <w14:lumMod w14:val="60000"/>
                <w14:lumOff w14:val="40000"/>
              </w14:schemeClr>
            </w14:solidFill>
          </w14:textFill>
        </w:rPr>
        <w:br w:type="textWrapping"/>
      </w:r>
      <w:r>
        <w:rPr>
          <w:rFonts w:hint="eastAsia"/>
          <w:color w:val="auto"/>
          <w:u w:val="single"/>
        </w:rPr>
        <w:t>回收率</w:t>
      </w:r>
      <w:bookmarkEnd w:id="15"/>
    </w:p>
    <w:p w14:paraId="18777D25">
      <w:pPr>
        <w:pStyle w:val="17"/>
        <w:ind w:firstLine="560" w:firstLineChars="200"/>
        <w:rPr>
          <w:rFonts w:hint="eastAsia" w:ascii="微软雅黑" w:hAnsi="微软雅黑" w:eastAsia="微软雅黑" w:cs="Times New Roman"/>
          <w:color w:val="auto"/>
          <w:sz w:val="28"/>
          <w:szCs w:val="28"/>
        </w:rPr>
      </w:pPr>
      <w:r>
        <w:rPr>
          <w:rFonts w:hint="eastAsia" w:ascii="微软雅黑" w:hAnsi="微软雅黑" w:eastAsia="微软雅黑" w:cs="Times New Roman"/>
          <w:color w:val="auto"/>
          <w:sz w:val="28"/>
          <w:szCs w:val="28"/>
        </w:rPr>
        <w:t>回收率在不同基质的整个测定范围内选取在健康</w:t>
      </w:r>
      <w:r>
        <w:rPr>
          <w:rFonts w:hint="eastAsia" w:ascii="微软雅黑" w:hAnsi="微软雅黑" w:eastAsia="微软雅黑" w:cs="Times New Roman"/>
          <w:color w:val="000000" w:themeColor="text1"/>
          <w:sz w:val="28"/>
          <w:szCs w:val="28"/>
          <w:lang w:eastAsia="zh-CN"/>
          <w14:textFill>
            <w14:solidFill>
              <w14:schemeClr w14:val="tx1"/>
            </w14:solidFill>
          </w14:textFill>
        </w:rPr>
        <w:t>大鼠</w:t>
      </w:r>
      <w:r>
        <w:rPr>
          <w:rFonts w:hint="eastAsia" w:ascii="微软雅黑" w:hAnsi="微软雅黑" w:eastAsia="微软雅黑" w:cs="Times New Roman"/>
          <w:color w:val="auto"/>
          <w:sz w:val="28"/>
          <w:szCs w:val="28"/>
        </w:rPr>
        <w:t>血清、血浆和细胞培养上清中加入</w:t>
      </w:r>
      <w:r>
        <w:rPr>
          <w:rFonts w:ascii="微软雅黑" w:hAnsi="微软雅黑" w:eastAsia="微软雅黑" w:cs="Times New Roman"/>
          <w:color w:val="auto"/>
          <w:sz w:val="28"/>
          <w:szCs w:val="28"/>
        </w:rPr>
        <w:t>3</w:t>
      </w:r>
      <w:r>
        <w:rPr>
          <w:rFonts w:hint="eastAsia" w:ascii="微软雅黑" w:hAnsi="微软雅黑" w:eastAsia="微软雅黑" w:cs="Times New Roman"/>
          <w:color w:val="auto"/>
          <w:sz w:val="28"/>
          <w:szCs w:val="28"/>
        </w:rPr>
        <w:t>个不同浓度水平计算回收率。</w:t>
      </w:r>
    </w:p>
    <w:p w14:paraId="3B08C391">
      <w:pPr>
        <w:pStyle w:val="17"/>
        <w:rPr>
          <w:rFonts w:hint="eastAsia" w:ascii="微软雅黑" w:hAnsi="微软雅黑" w:eastAsia="微软雅黑" w:cs="Times New Roman"/>
          <w:color w:val="auto"/>
          <w:sz w:val="28"/>
          <w:szCs w:val="28"/>
        </w:rPr>
      </w:pPr>
    </w:p>
    <w:tbl>
      <w:tblPr>
        <w:tblStyle w:val="11"/>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440"/>
        <w:gridCol w:w="2476"/>
        <w:gridCol w:w="2902"/>
      </w:tblGrid>
      <w:tr w14:paraId="56AB61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51" w:hRule="atLeast"/>
          <w:jc w:val="center"/>
        </w:trPr>
        <w:tc>
          <w:tcPr>
            <w:tcW w:w="3440" w:type="dxa"/>
            <w:noWrap/>
            <w:vAlign w:val="center"/>
          </w:tcPr>
          <w:p w14:paraId="5A436452">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样本类型</w:t>
            </w:r>
          </w:p>
        </w:tc>
        <w:tc>
          <w:tcPr>
            <w:tcW w:w="2476" w:type="dxa"/>
            <w:noWrap/>
            <w:vAlign w:val="center"/>
          </w:tcPr>
          <w:p w14:paraId="666C850A">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范围（%）</w:t>
            </w:r>
          </w:p>
        </w:tc>
        <w:tc>
          <w:tcPr>
            <w:tcW w:w="2902" w:type="dxa"/>
            <w:noWrap/>
            <w:vAlign w:val="center"/>
          </w:tcPr>
          <w:p w14:paraId="6C38B602">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平均回收率（%）</w:t>
            </w:r>
          </w:p>
        </w:tc>
      </w:tr>
      <w:tr w14:paraId="4FC4E2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6" w:hRule="atLeast"/>
          <w:jc w:val="center"/>
        </w:trPr>
        <w:tc>
          <w:tcPr>
            <w:tcW w:w="3440" w:type="dxa"/>
            <w:noWrap/>
            <w:vAlign w:val="center"/>
          </w:tcPr>
          <w:p w14:paraId="07D06E0B">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血清(n=8)</w:t>
            </w:r>
          </w:p>
        </w:tc>
        <w:tc>
          <w:tcPr>
            <w:tcW w:w="2476" w:type="dxa"/>
            <w:noWrap/>
            <w:vAlign w:val="center"/>
          </w:tcPr>
          <w:p w14:paraId="621A5730">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86-102</w:t>
            </w:r>
          </w:p>
        </w:tc>
        <w:tc>
          <w:tcPr>
            <w:tcW w:w="2902" w:type="dxa"/>
            <w:noWrap/>
            <w:vAlign w:val="center"/>
          </w:tcPr>
          <w:p w14:paraId="278FB94F">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94</w:t>
            </w:r>
          </w:p>
        </w:tc>
      </w:tr>
      <w:tr w14:paraId="5C2D6B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6" w:hRule="atLeast"/>
          <w:jc w:val="center"/>
        </w:trPr>
        <w:tc>
          <w:tcPr>
            <w:tcW w:w="3440" w:type="dxa"/>
            <w:noWrap/>
            <w:vAlign w:val="center"/>
          </w:tcPr>
          <w:p w14:paraId="4F3695D9">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血浆(n=8)</w:t>
            </w:r>
          </w:p>
        </w:tc>
        <w:tc>
          <w:tcPr>
            <w:tcW w:w="2476" w:type="dxa"/>
            <w:noWrap/>
            <w:vAlign w:val="center"/>
          </w:tcPr>
          <w:p w14:paraId="7C1F867C">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90-106</w:t>
            </w:r>
          </w:p>
        </w:tc>
        <w:tc>
          <w:tcPr>
            <w:tcW w:w="2902" w:type="dxa"/>
            <w:noWrap/>
            <w:vAlign w:val="center"/>
          </w:tcPr>
          <w:p w14:paraId="60774F63">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98</w:t>
            </w:r>
          </w:p>
        </w:tc>
      </w:tr>
      <w:tr w14:paraId="0DFF65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76" w:hRule="atLeast"/>
          <w:jc w:val="center"/>
        </w:trPr>
        <w:tc>
          <w:tcPr>
            <w:tcW w:w="3440" w:type="dxa"/>
            <w:noWrap/>
            <w:vAlign w:val="center"/>
          </w:tcPr>
          <w:p w14:paraId="55707C48">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细胞培养上清(n=8)</w:t>
            </w:r>
          </w:p>
        </w:tc>
        <w:tc>
          <w:tcPr>
            <w:tcW w:w="2476" w:type="dxa"/>
            <w:noWrap/>
            <w:vAlign w:val="center"/>
          </w:tcPr>
          <w:p w14:paraId="575CB696">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94-110</w:t>
            </w:r>
          </w:p>
        </w:tc>
        <w:tc>
          <w:tcPr>
            <w:tcW w:w="2902" w:type="dxa"/>
            <w:noWrap/>
            <w:vAlign w:val="center"/>
          </w:tcPr>
          <w:p w14:paraId="1AD58FEE">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102</w:t>
            </w:r>
          </w:p>
        </w:tc>
      </w:tr>
    </w:tbl>
    <w:p w14:paraId="19E4756D">
      <w:pPr>
        <w:pStyle w:val="10"/>
        <w:rPr>
          <w:rFonts w:hint="eastAsia"/>
          <w:color w:val="558ED5" w:themeColor="text2" w:themeTint="99"/>
          <w14:textFill>
            <w14:solidFill>
              <w14:schemeClr w14:val="tx2">
                <w14:lumMod w14:val="60000"/>
                <w14:lumOff w14:val="40000"/>
              </w14:schemeClr>
            </w14:solidFill>
          </w14:textFill>
        </w:rPr>
      </w:pPr>
      <w:bookmarkStart w:id="16" w:name="_Toc164420469"/>
      <w:r>
        <w:rPr>
          <w:rFonts w:hint="eastAsia"/>
          <w:color w:val="E46C0A" w:themeColor="accent6" w:themeShade="BF"/>
        </w:rPr>
        <w:br w:type="textWrapping"/>
      </w:r>
      <w:r>
        <w:rPr>
          <w:rFonts w:hint="eastAsia"/>
          <w:color w:val="auto"/>
          <w:u w:val="single"/>
        </w:rPr>
        <w:t>灵敏度</w:t>
      </w:r>
      <w:bookmarkEnd w:id="16"/>
      <w:r>
        <w:rPr>
          <w:color w:val="558ED5" w:themeColor="text2" w:themeTint="99"/>
          <w14:textFill>
            <w14:solidFill>
              <w14:schemeClr w14:val="tx2">
                <w14:lumMod w14:val="60000"/>
                <w14:lumOff w14:val="40000"/>
              </w14:schemeClr>
            </w14:solidFill>
          </w14:textFill>
        </w:rPr>
        <w:t xml:space="preserve"> </w:t>
      </w:r>
    </w:p>
    <w:p w14:paraId="6C799F5A">
      <w:pPr>
        <w:pStyle w:val="17"/>
        <w:ind w:firstLine="560" w:firstLineChars="200"/>
        <w:rPr>
          <w:rFonts w:hint="eastAsia" w:ascii="微软雅黑" w:hAnsi="微软雅黑" w:eastAsia="微软雅黑" w:cs="Times New Roman"/>
          <w:sz w:val="28"/>
          <w:szCs w:val="28"/>
        </w:rPr>
      </w:pPr>
      <w:r>
        <w:rPr>
          <w:rFonts w:hint="eastAsia" w:ascii="微软雅黑" w:hAnsi="微软雅黑" w:eastAsia="微软雅黑" w:cs="Times New Roman"/>
          <w:color w:val="auto"/>
          <w:sz w:val="28"/>
          <w:szCs w:val="28"/>
        </w:rPr>
        <w:t>经样本测试，本试剂盒的检测灵敏度为</w:t>
      </w:r>
      <w:r>
        <w:rPr>
          <w:rFonts w:hint="eastAsia" w:ascii="微软雅黑" w:hAnsi="微软雅黑" w:eastAsia="微软雅黑" w:cs="Times New Roman"/>
          <w:color w:val="000000" w:themeColor="text1"/>
          <w:sz w:val="28"/>
          <w:szCs w:val="28"/>
          <w:lang w:val="en-US" w:eastAsia="zh-CN"/>
          <w14:textFill>
            <w14:solidFill>
              <w14:schemeClr w14:val="tx1"/>
            </w14:solidFill>
          </w14:textFill>
        </w:rPr>
        <w:t>0.16</w:t>
      </w:r>
      <w:r>
        <w:rPr>
          <w:rFonts w:hint="eastAsia" w:ascii="微软雅黑" w:hAnsi="微软雅黑" w:eastAsia="微软雅黑" w:cs="Times New Roman"/>
          <w:color w:val="000000" w:themeColor="text1"/>
          <w:sz w:val="28"/>
          <w:szCs w:val="28"/>
          <w14:textFill>
            <w14:solidFill>
              <w14:schemeClr w14:val="tx1"/>
            </w14:solidFill>
          </w14:textFill>
        </w:rPr>
        <w:t>ng/mL。</w:t>
      </w:r>
      <w:bookmarkStart w:id="17" w:name="_Toc164420470"/>
    </w:p>
    <w:p w14:paraId="10E327D9">
      <w:pPr>
        <w:pStyle w:val="10"/>
        <w:rPr>
          <w:rFonts w:hint="eastAsia"/>
          <w:color w:val="E46C0A" w:themeColor="accent6" w:themeShade="BF"/>
        </w:rPr>
      </w:pPr>
      <w:r>
        <w:rPr>
          <w:rFonts w:hint="eastAsia"/>
          <w:color w:val="E46C0A" w:themeColor="accent6" w:themeShade="BF"/>
        </w:rPr>
        <w:br w:type="textWrapping"/>
      </w:r>
      <w:r>
        <w:rPr>
          <w:rFonts w:hint="eastAsia"/>
          <w:color w:val="auto"/>
          <w:u w:val="single"/>
        </w:rPr>
        <w:t>线性</w:t>
      </w:r>
      <w:bookmarkEnd w:id="17"/>
      <w:r>
        <w:rPr>
          <w:rFonts w:hint="eastAsia"/>
          <w:color w:val="auto"/>
          <w:u w:val="single"/>
        </w:rPr>
        <w:t>关系</w:t>
      </w:r>
    </w:p>
    <w:p w14:paraId="757C75E3">
      <w:pPr>
        <w:pStyle w:val="17"/>
        <w:ind w:firstLine="560" w:firstLineChars="200"/>
        <w:rPr>
          <w:rFonts w:hint="eastAsia" w:ascii="微软雅黑" w:hAnsi="微软雅黑" w:eastAsia="微软雅黑" w:cs="Times New Roman"/>
          <w:color w:val="auto"/>
          <w:sz w:val="28"/>
          <w:szCs w:val="28"/>
        </w:rPr>
      </w:pPr>
      <w:r>
        <w:rPr>
          <w:rFonts w:hint="eastAsia" w:ascii="微软雅黑" w:hAnsi="微软雅黑" w:eastAsia="微软雅黑" w:cs="Times New Roman"/>
          <w:color w:val="auto"/>
          <w:sz w:val="28"/>
          <w:szCs w:val="28"/>
        </w:rPr>
        <w:t>分别在选取的</w:t>
      </w:r>
      <w:r>
        <w:rPr>
          <w:rFonts w:ascii="微软雅黑" w:hAnsi="微软雅黑" w:eastAsia="微软雅黑" w:cs="Times New Roman"/>
          <w:color w:val="auto"/>
          <w:sz w:val="28"/>
          <w:szCs w:val="28"/>
        </w:rPr>
        <w:t>4</w:t>
      </w:r>
      <w:r>
        <w:rPr>
          <w:rFonts w:hint="eastAsia" w:ascii="微软雅黑" w:hAnsi="微软雅黑" w:eastAsia="微软雅黑" w:cs="Times New Roman"/>
          <w:color w:val="auto"/>
          <w:sz w:val="28"/>
          <w:szCs w:val="28"/>
        </w:rPr>
        <w:t>份健康</w:t>
      </w:r>
      <w:r>
        <w:rPr>
          <w:rFonts w:hint="eastAsia" w:ascii="微软雅黑" w:hAnsi="微软雅黑" w:eastAsia="微软雅黑" w:cs="Times New Roman"/>
          <w:color w:val="000000" w:themeColor="text1"/>
          <w:sz w:val="28"/>
          <w:szCs w:val="28"/>
          <w:lang w:eastAsia="zh-CN"/>
          <w14:textFill>
            <w14:solidFill>
              <w14:schemeClr w14:val="tx1"/>
            </w14:solidFill>
          </w14:textFill>
        </w:rPr>
        <w:t>大鼠</w:t>
      </w:r>
      <w:r>
        <w:rPr>
          <w:rFonts w:hint="eastAsia" w:ascii="微软雅黑" w:hAnsi="微软雅黑" w:eastAsia="微软雅黑" w:cs="Times New Roman"/>
          <w:color w:val="auto"/>
          <w:sz w:val="28"/>
          <w:szCs w:val="28"/>
        </w:rPr>
        <w:t>血清、血浆和细胞培养上清中加入高浓度</w:t>
      </w:r>
      <w:r>
        <w:rPr>
          <w:rFonts w:hint="eastAsia" w:ascii="微软雅黑" w:hAnsi="微软雅黑" w:eastAsia="微软雅黑"/>
          <w:color w:val="000000" w:themeColor="text1"/>
          <w:sz w:val="28"/>
          <w:szCs w:val="28"/>
          <w:lang w:eastAsia="zh-CN"/>
          <w14:textFill>
            <w14:solidFill>
              <w14:schemeClr w14:val="tx1"/>
            </w14:solidFill>
          </w14:textFill>
        </w:rPr>
        <w:t>CK-MB</w:t>
      </w:r>
      <w:r>
        <w:rPr>
          <w:rFonts w:hint="eastAsia" w:ascii="微软雅黑" w:hAnsi="微软雅黑" w:eastAsia="微软雅黑" w:cs="Times New Roman"/>
          <w:color w:val="auto"/>
          <w:sz w:val="28"/>
          <w:szCs w:val="28"/>
        </w:rPr>
        <w:t>，在标准曲线动力学范围内进行稀释，评估线性。</w:t>
      </w:r>
      <w:r>
        <w:rPr>
          <w:rFonts w:hint="eastAsia" w:ascii="微软雅黑" w:hAnsi="微软雅黑" w:eastAsia="微软雅黑" w:cs="Times New Roman"/>
          <w:color w:val="auto"/>
          <w:sz w:val="28"/>
          <w:szCs w:val="28"/>
        </w:rPr>
        <w:br w:type="textWrapping"/>
      </w:r>
      <w:r>
        <w:rPr>
          <w:rFonts w:hint="eastAsia" w:ascii="微软雅黑" w:hAnsi="微软雅黑" w:eastAsia="微软雅黑" w:cs="Times New Roman"/>
          <w:color w:val="auto"/>
          <w:sz w:val="28"/>
          <w:szCs w:val="28"/>
        </w:rPr>
        <w:br w:type="textWrapping"/>
      </w:r>
    </w:p>
    <w:tbl>
      <w:tblPr>
        <w:tblStyle w:val="11"/>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756"/>
        <w:gridCol w:w="1885"/>
        <w:gridCol w:w="1656"/>
        <w:gridCol w:w="1590"/>
        <w:gridCol w:w="2050"/>
      </w:tblGrid>
      <w:tr w14:paraId="0B0FC0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73" w:hRule="atLeast"/>
          <w:jc w:val="center"/>
        </w:trPr>
        <w:tc>
          <w:tcPr>
            <w:tcW w:w="1756" w:type="dxa"/>
            <w:vAlign w:val="center"/>
          </w:tcPr>
          <w:p w14:paraId="42C37F4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稀释比例</w:t>
            </w:r>
          </w:p>
        </w:tc>
        <w:tc>
          <w:tcPr>
            <w:tcW w:w="1885" w:type="dxa"/>
            <w:vAlign w:val="center"/>
          </w:tcPr>
          <w:p w14:paraId="60F76DE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回收率（%）</w:t>
            </w:r>
          </w:p>
        </w:tc>
        <w:tc>
          <w:tcPr>
            <w:tcW w:w="1656" w:type="dxa"/>
            <w:vAlign w:val="center"/>
          </w:tcPr>
          <w:p w14:paraId="0F41562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血清</w:t>
            </w:r>
          </w:p>
        </w:tc>
        <w:tc>
          <w:tcPr>
            <w:tcW w:w="1590" w:type="dxa"/>
            <w:vAlign w:val="center"/>
          </w:tcPr>
          <w:p w14:paraId="5893A27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血浆</w:t>
            </w:r>
          </w:p>
        </w:tc>
        <w:tc>
          <w:tcPr>
            <w:tcW w:w="2050" w:type="dxa"/>
            <w:vAlign w:val="center"/>
          </w:tcPr>
          <w:p w14:paraId="32CD5A5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细胞培养上清</w:t>
            </w:r>
          </w:p>
        </w:tc>
      </w:tr>
      <w:tr w14:paraId="6D9C52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29" w:hRule="atLeast"/>
          <w:jc w:val="center"/>
        </w:trPr>
        <w:tc>
          <w:tcPr>
            <w:tcW w:w="1756" w:type="dxa"/>
            <w:vAlign w:val="center"/>
          </w:tcPr>
          <w:p w14:paraId="7645BEA0">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1:2</w:t>
            </w:r>
          </w:p>
        </w:tc>
        <w:tc>
          <w:tcPr>
            <w:tcW w:w="1885" w:type="dxa"/>
            <w:vAlign w:val="center"/>
          </w:tcPr>
          <w:p w14:paraId="6CAEFF4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范围（%）</w:t>
            </w:r>
          </w:p>
        </w:tc>
        <w:tc>
          <w:tcPr>
            <w:tcW w:w="1656" w:type="dxa"/>
            <w:vAlign w:val="center"/>
          </w:tcPr>
          <w:p w14:paraId="10842A1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92-96</w:t>
            </w:r>
          </w:p>
        </w:tc>
        <w:tc>
          <w:tcPr>
            <w:tcW w:w="1590" w:type="dxa"/>
            <w:vAlign w:val="center"/>
          </w:tcPr>
          <w:p w14:paraId="394EE84E">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90-98</w:t>
            </w:r>
          </w:p>
        </w:tc>
        <w:tc>
          <w:tcPr>
            <w:tcW w:w="2050" w:type="dxa"/>
            <w:vAlign w:val="center"/>
          </w:tcPr>
          <w:p w14:paraId="2332C42A">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92-112</w:t>
            </w:r>
          </w:p>
        </w:tc>
      </w:tr>
      <w:tr w14:paraId="7045AC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29" w:hRule="atLeast"/>
          <w:jc w:val="center"/>
        </w:trPr>
        <w:tc>
          <w:tcPr>
            <w:tcW w:w="1756" w:type="dxa"/>
            <w:vAlign w:val="center"/>
          </w:tcPr>
          <w:p w14:paraId="210A71A7">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1:4</w:t>
            </w:r>
          </w:p>
        </w:tc>
        <w:tc>
          <w:tcPr>
            <w:tcW w:w="1885" w:type="dxa"/>
            <w:vAlign w:val="center"/>
          </w:tcPr>
          <w:p w14:paraId="28B6E8B7">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范围（%）</w:t>
            </w:r>
          </w:p>
        </w:tc>
        <w:tc>
          <w:tcPr>
            <w:tcW w:w="1656" w:type="dxa"/>
            <w:vAlign w:val="center"/>
          </w:tcPr>
          <w:p w14:paraId="0C0A6E2E">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88-104</w:t>
            </w:r>
          </w:p>
        </w:tc>
        <w:tc>
          <w:tcPr>
            <w:tcW w:w="1590" w:type="dxa"/>
            <w:vAlign w:val="center"/>
          </w:tcPr>
          <w:p w14:paraId="073188F2">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89-107</w:t>
            </w:r>
          </w:p>
        </w:tc>
        <w:tc>
          <w:tcPr>
            <w:tcW w:w="2050" w:type="dxa"/>
            <w:vAlign w:val="center"/>
          </w:tcPr>
          <w:p w14:paraId="125F622A">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104-116</w:t>
            </w:r>
          </w:p>
        </w:tc>
      </w:tr>
      <w:tr w14:paraId="43483D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13" w:hRule="atLeast"/>
          <w:jc w:val="center"/>
        </w:trPr>
        <w:tc>
          <w:tcPr>
            <w:tcW w:w="1756" w:type="dxa"/>
            <w:vAlign w:val="center"/>
          </w:tcPr>
          <w:p w14:paraId="3BEC945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1:8</w:t>
            </w:r>
          </w:p>
        </w:tc>
        <w:tc>
          <w:tcPr>
            <w:tcW w:w="1885" w:type="dxa"/>
            <w:vAlign w:val="center"/>
          </w:tcPr>
          <w:p w14:paraId="7E03D03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范围（%）</w:t>
            </w:r>
          </w:p>
        </w:tc>
        <w:tc>
          <w:tcPr>
            <w:tcW w:w="1656" w:type="dxa"/>
            <w:vAlign w:val="center"/>
          </w:tcPr>
          <w:p w14:paraId="73574BBB">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95-102</w:t>
            </w:r>
          </w:p>
        </w:tc>
        <w:tc>
          <w:tcPr>
            <w:tcW w:w="1590" w:type="dxa"/>
            <w:vAlign w:val="center"/>
          </w:tcPr>
          <w:p w14:paraId="7701340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92-101</w:t>
            </w:r>
          </w:p>
        </w:tc>
        <w:tc>
          <w:tcPr>
            <w:tcW w:w="2050" w:type="dxa"/>
            <w:vAlign w:val="center"/>
          </w:tcPr>
          <w:p w14:paraId="0436BEF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99-115</w:t>
            </w:r>
          </w:p>
        </w:tc>
      </w:tr>
    </w:tbl>
    <w:p w14:paraId="43B6A5DA">
      <w:pPr>
        <w:pStyle w:val="10"/>
        <w:rPr>
          <w:rFonts w:hint="eastAsia"/>
          <w:color w:val="558ED5" w:themeColor="text2" w:themeTint="99"/>
          <w14:textFill>
            <w14:solidFill>
              <w14:schemeClr w14:val="tx2">
                <w14:lumMod w14:val="60000"/>
                <w14:lumOff w14:val="40000"/>
              </w14:schemeClr>
            </w14:solidFill>
          </w14:textFill>
        </w:rPr>
      </w:pPr>
      <w:bookmarkStart w:id="18" w:name="_Toc164420472"/>
    </w:p>
    <w:p w14:paraId="4561C8D0">
      <w:pPr>
        <w:pStyle w:val="10"/>
        <w:rPr>
          <w:rFonts w:hint="eastAsia"/>
          <w:color w:val="auto"/>
          <w:u w:val="single"/>
        </w:rPr>
      </w:pPr>
      <w:r>
        <w:rPr>
          <w:rFonts w:hint="eastAsia"/>
          <w:color w:val="auto"/>
          <w:u w:val="single"/>
        </w:rPr>
        <w:t>特异性</w:t>
      </w:r>
      <w:bookmarkEnd w:id="18"/>
    </w:p>
    <w:p w14:paraId="5361BF3C">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该试剂盒测定可识别重组</w:t>
      </w:r>
      <w:r>
        <w:rPr>
          <w:rFonts w:hint="eastAsia" w:ascii="微软雅黑" w:hAnsi="微软雅黑" w:eastAsia="微软雅黑" w:cs="微软雅黑"/>
          <w:b w:val="0"/>
          <w:bCs w:val="0"/>
          <w:color w:val="000000" w:themeColor="text1"/>
          <w:sz w:val="28"/>
          <w:szCs w:val="28"/>
          <w:lang w:eastAsia="zh-CN"/>
          <w14:textFill>
            <w14:solidFill>
              <w14:schemeClr w14:val="tx1"/>
            </w14:solidFill>
          </w14:textFill>
        </w:rPr>
        <w:t>大鼠CK-MB</w:t>
      </w:r>
      <w:r>
        <w:rPr>
          <w:rFonts w:hint="eastAsia" w:ascii="微软雅黑" w:hAnsi="微软雅黑" w:eastAsia="微软雅黑" w:cs="微软雅黑"/>
          <w:b w:val="0"/>
          <w:bCs w:val="0"/>
          <w:color w:val="auto"/>
          <w:sz w:val="28"/>
          <w:szCs w:val="28"/>
        </w:rPr>
        <w:t>。</w:t>
      </w:r>
    </w:p>
    <w:p w14:paraId="67F23B4F">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其他相关蛋白在稀释缓冲液中制备为50ng/mL，并测定交叉反应性。没有观察到明显的交叉反应。</w:t>
      </w:r>
      <w:bookmarkStart w:id="19" w:name="_Toc164420473"/>
    </w:p>
    <w:p w14:paraId="1765A6E0">
      <w:pPr>
        <w:pStyle w:val="10"/>
        <w:rPr>
          <w:rFonts w:hint="eastAsia"/>
          <w:color w:val="558ED5" w:themeColor="text2" w:themeTint="99"/>
          <w14:textFill>
            <w14:solidFill>
              <w14:schemeClr w14:val="tx2">
                <w14:lumMod w14:val="60000"/>
                <w14:lumOff w14:val="40000"/>
              </w14:schemeClr>
            </w14:solidFill>
          </w14:textFill>
        </w:rPr>
      </w:pPr>
      <w:r>
        <w:rPr>
          <w:rFonts w:hint="eastAsia"/>
          <w:color w:val="auto"/>
          <w:u w:val="single"/>
        </w:rPr>
        <w:t>参考文献</w:t>
      </w:r>
      <w:bookmarkEnd w:id="19"/>
      <w:r>
        <w:rPr>
          <w:color w:val="E46C0A" w:themeColor="accent6" w:themeShade="BF"/>
        </w:rPr>
        <w:t xml:space="preserve"> </w:t>
      </w:r>
      <w:r>
        <w:rPr>
          <w:color w:val="558ED5" w:themeColor="text2" w:themeTint="99"/>
          <w14:textFill>
            <w14:solidFill>
              <w14:schemeClr w14:val="tx2">
                <w14:lumMod w14:val="60000"/>
                <w14:lumOff w14:val="40000"/>
              </w14:schemeClr>
            </w14:solidFill>
          </w14:textFill>
        </w:rPr>
        <w:br w:type="textWrapping"/>
      </w:r>
    </w:p>
    <w:p w14:paraId="31BF8A9C">
      <w:pPr>
        <w:rPr>
          <w:color w:val="E46C0A" w:themeColor="accent6" w:themeShade="BF"/>
        </w:rPr>
      </w:pPr>
    </w:p>
    <w:p w14:paraId="1C355518">
      <w:pPr>
        <w:pStyle w:val="17"/>
        <w:jc w:val="center"/>
        <w:rPr>
          <w:rFonts w:hint="eastAsia" w:ascii="微软雅黑" w:hAnsi="微软雅黑" w:eastAsia="微软雅黑"/>
        </w:rPr>
      </w:pPr>
      <w:r>
        <w:drawing>
          <wp:inline distT="0" distB="0" distL="0" distR="0">
            <wp:extent cx="8001635" cy="6142355"/>
            <wp:effectExtent l="0" t="3810" r="0" b="0"/>
            <wp:docPr id="8927679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67922" name="图片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rot="16200000">
                      <a:off x="0" y="0"/>
                      <a:ext cx="8026006" cy="6161338"/>
                    </a:xfrm>
                    <a:prstGeom prst="rect">
                      <a:avLst/>
                    </a:prstGeom>
                    <a:noFill/>
                    <a:ln>
                      <a:noFill/>
                    </a:ln>
                  </pic:spPr>
                </pic:pic>
              </a:graphicData>
            </a:graphic>
          </wp:inline>
        </w:drawing>
      </w:r>
    </w:p>
    <w:p w14:paraId="450E4C11">
      <w:pPr>
        <w:pStyle w:val="24"/>
        <w:ind w:firstLine="400"/>
        <w:rPr>
          <w:rFonts w:hint="eastAsia" w:ascii="微软雅黑" w:hAnsi="微软雅黑" w:eastAsia="微软雅黑"/>
          <w:b/>
          <w:bCs/>
          <w:color w:val="00B050"/>
          <w:sz w:val="20"/>
          <w:szCs w:val="20"/>
        </w:rPr>
      </w:pPr>
    </w:p>
    <w:p w14:paraId="5088F38E">
      <w:pPr>
        <w:pStyle w:val="24"/>
        <w:ind w:firstLine="400"/>
        <w:rPr>
          <w:rFonts w:hint="eastAsia" w:ascii="微软雅黑" w:hAnsi="微软雅黑" w:eastAsia="微软雅黑"/>
          <w:b/>
          <w:bCs/>
          <w:color w:val="00B050"/>
          <w:sz w:val="20"/>
          <w:szCs w:val="20"/>
        </w:rPr>
      </w:pPr>
    </w:p>
    <w:p w14:paraId="30F45E16">
      <w:pPr>
        <w:pStyle w:val="24"/>
        <w:ind w:firstLine="400"/>
        <w:rPr>
          <w:rFonts w:hint="eastAsia" w:ascii="微软雅黑" w:hAnsi="微软雅黑" w:eastAsia="微软雅黑"/>
          <w:b/>
          <w:bCs/>
          <w:color w:val="00B050"/>
          <w:sz w:val="20"/>
          <w:szCs w:val="20"/>
        </w:rPr>
      </w:pPr>
    </w:p>
    <w:p w14:paraId="29CA411E">
      <w:pPr>
        <w:pStyle w:val="24"/>
        <w:ind w:firstLine="400"/>
        <w:rPr>
          <w:rFonts w:hint="eastAsia" w:ascii="微软雅黑" w:hAnsi="微软雅黑" w:eastAsia="微软雅黑"/>
          <w:b/>
          <w:bCs/>
          <w:color w:val="00B050"/>
          <w:sz w:val="20"/>
          <w:szCs w:val="20"/>
        </w:rPr>
      </w:pPr>
    </w:p>
    <w:p w14:paraId="4F30EE8B">
      <w:pPr>
        <w:pStyle w:val="24"/>
        <w:ind w:firstLine="400"/>
        <w:rPr>
          <w:rFonts w:hint="eastAsia" w:ascii="微软雅黑" w:hAnsi="微软雅黑" w:eastAsia="微软雅黑"/>
          <w:b/>
          <w:bCs/>
          <w:color w:val="00B050"/>
          <w:sz w:val="20"/>
          <w:szCs w:val="20"/>
        </w:rPr>
      </w:pPr>
    </w:p>
    <w:p w14:paraId="233C31C0">
      <w:pPr>
        <w:pStyle w:val="24"/>
        <w:ind w:firstLine="400"/>
        <w:rPr>
          <w:rFonts w:hint="eastAsia" w:ascii="微软雅黑" w:hAnsi="微软雅黑" w:eastAsia="微软雅黑"/>
          <w:b/>
          <w:bCs/>
          <w:color w:val="00B050"/>
          <w:sz w:val="20"/>
          <w:szCs w:val="20"/>
        </w:rPr>
      </w:pPr>
    </w:p>
    <w:p w14:paraId="574D51C3">
      <w:pPr>
        <w:pStyle w:val="24"/>
        <w:ind w:firstLine="400"/>
        <w:rPr>
          <w:rFonts w:hint="eastAsia" w:ascii="微软雅黑" w:hAnsi="微软雅黑" w:eastAsia="微软雅黑"/>
          <w:b/>
          <w:bCs/>
          <w:color w:val="00B050"/>
          <w:sz w:val="20"/>
          <w:szCs w:val="20"/>
        </w:rPr>
      </w:pPr>
    </w:p>
    <w:p w14:paraId="4C469CD3">
      <w:pPr>
        <w:pStyle w:val="24"/>
        <w:ind w:firstLine="400"/>
        <w:rPr>
          <w:rFonts w:hint="eastAsia" w:ascii="微软雅黑" w:hAnsi="微软雅黑" w:eastAsia="微软雅黑"/>
          <w:b/>
          <w:bCs/>
          <w:color w:val="00B050"/>
          <w:sz w:val="20"/>
          <w:szCs w:val="20"/>
        </w:rPr>
      </w:pPr>
    </w:p>
    <w:p w14:paraId="4BFB3593">
      <w:pPr>
        <w:pStyle w:val="24"/>
        <w:ind w:firstLine="400"/>
        <w:rPr>
          <w:rFonts w:hint="eastAsia" w:ascii="微软雅黑" w:hAnsi="微软雅黑" w:eastAsia="微软雅黑"/>
          <w:b/>
          <w:bCs/>
          <w:color w:val="00B050"/>
          <w:sz w:val="20"/>
          <w:szCs w:val="20"/>
        </w:rPr>
      </w:pPr>
    </w:p>
    <w:p w14:paraId="7F4329F5">
      <w:pPr>
        <w:pStyle w:val="24"/>
        <w:ind w:firstLine="400"/>
        <w:rPr>
          <w:rFonts w:hint="eastAsia" w:ascii="微软雅黑" w:hAnsi="微软雅黑" w:eastAsia="微软雅黑"/>
          <w:b/>
          <w:bCs/>
          <w:color w:val="00B050"/>
          <w:sz w:val="20"/>
          <w:szCs w:val="20"/>
        </w:rPr>
      </w:pPr>
    </w:p>
    <w:p w14:paraId="4EAD88E0">
      <w:pPr>
        <w:pStyle w:val="24"/>
        <w:ind w:firstLine="400"/>
        <w:rPr>
          <w:rFonts w:hint="eastAsia" w:ascii="微软雅黑" w:hAnsi="微软雅黑" w:eastAsia="微软雅黑"/>
          <w:b/>
          <w:bCs/>
          <w:color w:val="00B050"/>
          <w:sz w:val="20"/>
          <w:szCs w:val="20"/>
        </w:rPr>
      </w:pPr>
    </w:p>
    <w:p w14:paraId="7268D05D">
      <w:pPr>
        <w:pStyle w:val="24"/>
        <w:ind w:firstLine="400"/>
        <w:rPr>
          <w:rFonts w:hint="eastAsia" w:ascii="微软雅黑" w:hAnsi="微软雅黑" w:eastAsia="微软雅黑"/>
          <w:b/>
          <w:bCs/>
          <w:color w:val="00B050"/>
          <w:sz w:val="20"/>
          <w:szCs w:val="20"/>
        </w:rPr>
      </w:pPr>
    </w:p>
    <w:p w14:paraId="3A0E7B91">
      <w:pPr>
        <w:pStyle w:val="24"/>
        <w:rPr>
          <w:rFonts w:hint="eastAsia" w:ascii="微软雅黑" w:hAnsi="微软雅黑" w:eastAsia="微软雅黑"/>
          <w:b/>
          <w:bCs/>
          <w:sz w:val="28"/>
          <w:szCs w:val="28"/>
        </w:rPr>
      </w:pPr>
    </w:p>
    <w:p w14:paraId="58A74636">
      <w:pPr>
        <w:pStyle w:val="24"/>
        <w:rPr>
          <w:rFonts w:hint="eastAsia" w:ascii="微软雅黑" w:hAnsi="微软雅黑" w:eastAsia="微软雅黑"/>
          <w:b/>
          <w:bCs/>
          <w:sz w:val="30"/>
          <w:szCs w:val="30"/>
        </w:rPr>
      </w:pPr>
      <w:r>
        <w:rPr>
          <w:rFonts w:hint="eastAsia" w:ascii="微软雅黑" w:hAnsi="微软雅黑" w:eastAsia="微软雅黑"/>
          <w:b/>
          <w:bCs/>
          <w:sz w:val="30"/>
          <w:szCs w:val="30"/>
        </w:rPr>
        <w:t>生产企业</w:t>
      </w:r>
      <w:r>
        <w:rPr>
          <w:rFonts w:ascii="微软雅黑" w:hAnsi="微软雅黑" w:eastAsia="微软雅黑"/>
          <w:b/>
          <w:bCs/>
          <w:sz w:val="30"/>
          <w:szCs w:val="30"/>
        </w:rPr>
        <w:t xml:space="preserve">: </w:t>
      </w:r>
      <w:r>
        <w:rPr>
          <w:rFonts w:hint="eastAsia" w:ascii="微软雅黑" w:hAnsi="微软雅黑" w:eastAsia="微软雅黑"/>
          <w:b/>
          <w:bCs/>
          <w:sz w:val="30"/>
          <w:szCs w:val="30"/>
        </w:rPr>
        <w:t>上海通蔚实业有限公司</w:t>
      </w:r>
    </w:p>
    <w:p w14:paraId="243D6BF9">
      <w:pPr>
        <w:pStyle w:val="17"/>
      </w:pPr>
    </w:p>
    <w:p w14:paraId="6363E794">
      <w:pPr>
        <w:pStyle w:val="24"/>
        <w:rPr>
          <w:rFonts w:hint="eastAsia" w:ascii="微软雅黑" w:hAnsi="微软雅黑" w:eastAsia="微软雅黑"/>
          <w:b/>
          <w:bCs/>
          <w:sz w:val="30"/>
          <w:szCs w:val="30"/>
        </w:rPr>
      </w:pPr>
      <w:r>
        <w:rPr>
          <w:rFonts w:hint="eastAsia" w:ascii="微软雅黑" w:hAnsi="微软雅黑" w:eastAsia="微软雅黑"/>
          <w:b/>
          <w:bCs/>
          <w:sz w:val="30"/>
          <w:szCs w:val="30"/>
        </w:rPr>
        <w:t>公司地址：上海市松江区九亭镇研展路158弄15号1603</w:t>
      </w:r>
    </w:p>
    <w:p w14:paraId="0AB7F47B">
      <w:pPr>
        <w:pStyle w:val="17"/>
      </w:pPr>
    </w:p>
    <w:p w14:paraId="4E2AD2BF">
      <w:pPr>
        <w:pStyle w:val="24"/>
        <w:rPr>
          <w:rFonts w:hint="eastAsia" w:ascii="微软雅黑" w:hAnsi="微软雅黑" w:eastAsia="微软雅黑"/>
          <w:b/>
          <w:bCs/>
          <w:sz w:val="30"/>
          <w:szCs w:val="30"/>
        </w:rPr>
      </w:pPr>
      <w:r>
        <w:rPr>
          <w:rFonts w:hint="eastAsia" w:ascii="微软雅黑" w:hAnsi="微软雅黑" w:eastAsia="微软雅黑"/>
          <w:b/>
          <w:bCs/>
          <w:sz w:val="30"/>
          <w:szCs w:val="30"/>
        </w:rPr>
        <w:t>公司电话：021-54845833</w:t>
      </w:r>
    </w:p>
    <w:p w14:paraId="5BE3CED7">
      <w:pPr>
        <w:pStyle w:val="17"/>
      </w:pPr>
    </w:p>
    <w:p w14:paraId="4D82E5B2">
      <w:pPr>
        <w:pStyle w:val="24"/>
        <w:rPr>
          <w:rFonts w:hint="eastAsia" w:ascii="微软雅黑" w:hAnsi="微软雅黑" w:eastAsia="微软雅黑"/>
          <w:b/>
          <w:bCs/>
          <w:sz w:val="30"/>
          <w:szCs w:val="30"/>
        </w:rPr>
      </w:pPr>
      <w:r>
        <w:rPr>
          <w:rFonts w:hint="eastAsia" w:ascii="微软雅黑" w:hAnsi="微软雅黑" w:eastAsia="微软雅黑"/>
          <w:b/>
          <w:bCs/>
          <w:sz w:val="30"/>
          <w:szCs w:val="30"/>
        </w:rPr>
        <w:t>技术支持：15800441009</w:t>
      </w:r>
    </w:p>
    <w:sectPr>
      <w:headerReference r:id="rId3" w:type="default"/>
      <w:footerReference r:id="rId5" w:type="default"/>
      <w:headerReference r:id="rId4" w:type="even"/>
      <w:footerReference r:id="rId6" w:type="even"/>
      <w:type w:val="continuous"/>
      <w:pgSz w:w="12240" w:h="15840"/>
      <w:pgMar w:top="1247" w:right="658" w:bottom="1162" w:left="839" w:header="283" w:footer="0" w:gutter="0"/>
      <w:cols w:space="720" w:num="1"/>
      <w:docGrid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琥珀">
    <w:panose1 w:val="02010800040101010101"/>
    <w:charset w:val="86"/>
    <w:family w:val="auto"/>
    <w:pitch w:val="default"/>
    <w:sig w:usb0="00000001" w:usb1="080F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yriad Pro Cond">
    <w:altName w:val="宋体"/>
    <w:panose1 w:val="020B0506030403020204"/>
    <w:charset w:val="86"/>
    <w:family w:val="swiss"/>
    <w:pitch w:val="default"/>
    <w:sig w:usb0="00000000" w:usb1="00000000" w:usb2="00000000" w:usb3="00000000" w:csb0="2000019F" w:csb1="00000000"/>
  </w:font>
  <w:font w:name="方正舒体">
    <w:panose1 w:val="02010601030101010101"/>
    <w:charset w:val="86"/>
    <w:family w:val="auto"/>
    <w:pitch w:val="default"/>
    <w:sig w:usb0="00000003" w:usb1="080E0000" w:usb2="00000000" w:usb3="00000000" w:csb0="00040000" w:csb1="00000000"/>
  </w:font>
  <w:font w:name="Myriad Pro">
    <w:altName w:val="宋体"/>
    <w:panose1 w:val="020B0503030403020204"/>
    <w:charset w:val="86"/>
    <w:family w:val="swiss"/>
    <w:pitch w:val="default"/>
    <w:sig w:usb0="00000000" w:usb1="00000000" w:usb2="00000000" w:usb3="00000000" w:csb0="2000019F" w:csb1="00000000"/>
  </w:font>
  <w:font w:name="汉仪雅酷黑简">
    <w:altName w:val="黑体"/>
    <w:panose1 w:val="00020600040101010101"/>
    <w:charset w:val="86"/>
    <w:family w:val="auto"/>
    <w:pitch w:val="default"/>
    <w:sig w:usb0="00000000" w:usb1="00000000"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7762B">
    <w:pPr>
      <w:pStyle w:val="6"/>
      <w:rPr>
        <w:color w:val="E46C0A" w:themeColor="accent6" w:themeShade="BF"/>
      </w:rPr>
    </w:pPr>
  </w:p>
  <w:p w14:paraId="678D8FD7">
    <w:pPr>
      <w:pStyle w:val="6"/>
      <w:tabs>
        <w:tab w:val="left" w:pos="301"/>
        <w:tab w:val="clear" w:pos="4153"/>
      </w:tabs>
      <w:rPr>
        <w:rFonts w:hint="eastAsia" w:eastAsia="华文琥珀"/>
        <w:color w:val="E46C0A" w:themeColor="accent6" w:themeShade="BF"/>
        <w:lang w:eastAsia="zh-CN"/>
      </w:rPr>
    </w:pPr>
    <w:r>
      <w:rPr>
        <w:color w:val="auto"/>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-17145</wp:posOffset>
              </wp:positionV>
              <wp:extent cx="6813550" cy="0"/>
              <wp:effectExtent l="0" t="4445" r="6350" b="5080"/>
              <wp:wrapNone/>
              <wp:docPr id="5" name="自选图形 3"/>
              <wp:cNvGraphicFramePr/>
              <a:graphic xmlns:a="http://schemas.openxmlformats.org/drawingml/2006/main">
                <a:graphicData uri="http://schemas.microsoft.com/office/word/2010/wordprocessingShape">
                  <wps:wsp>
                    <wps:cNvCnPr/>
                    <wps:spPr>
                      <a:xfrm>
                        <a:off x="0" y="0"/>
                        <a:ext cx="68135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margin-left:0.05pt;margin-top:-1.35pt;height:0pt;width:536.5pt;z-index:251659264;mso-width-relative:page;mso-height-relative:page;" filled="f" stroked="t" coordsize="21600,21600" o:gfxdata="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CNMu/TAAAABwEAAA8AAAAAAAAAAQAgAAAAIgAAAGRycy9kb3ducmV2LnhtbFBLAQIUABQA&#10;AAAIAIdO4kDhiOE19QEAAOMDAAAOAAAAAAAAAAEAIAAAACIBAABkcnMvZTJvRG9jLnhtbFBLBQYA&#10;AAAABgAGAFkBAACJBQAAAAA=&#10;">
              <v:fill on="f" focussize="0,0"/>
              <v:stroke color="#000000" joinstyle="round"/>
              <v:imagedata o:title=""/>
              <o:lock v:ext="edit" aspectratio="f"/>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25958">
    <w:pPr>
      <w:pStyle w:val="6"/>
      <w:rPr>
        <w:color w:val="E46C0A" w:themeColor="accent6" w:themeShade="BF"/>
      </w:rPr>
    </w:pPr>
  </w:p>
  <w:p w14:paraId="3FFA3C7E">
    <w:pPr>
      <w:rPr>
        <w:color w:val="E46C0A" w:themeColor="accent6" w:themeShade="BF"/>
      </w:rPr>
    </w:pPr>
  </w:p>
  <w:p w14:paraId="7DEF7819">
    <w:pPr>
      <w:rPr>
        <w:color w:val="E46C0A" w:themeColor="accent6" w:themeShade="BF"/>
      </w:rPr>
    </w:pPr>
  </w:p>
  <w:p w14:paraId="66DF5E7A">
    <w:pPr>
      <w:rPr>
        <w:color w:val="E46C0A" w:themeColor="accent6" w:themeShade="BF"/>
      </w:rPr>
    </w:pPr>
  </w:p>
  <w:p w14:paraId="223850DA">
    <w:pPr>
      <w:rPr>
        <w:color w:val="E46C0A" w:themeColor="accent6" w:themeShade="BF"/>
      </w:rPr>
    </w:pPr>
  </w:p>
  <w:p w14:paraId="65828F90">
    <w:pPr>
      <w:rPr>
        <w:color w:val="E46C0A" w:themeColor="accent6" w:themeShade="BF"/>
      </w:rPr>
    </w:pPr>
  </w:p>
  <w:p w14:paraId="5CCA7561">
    <w:pPr>
      <w:rPr>
        <w:color w:val="E46C0A" w:themeColor="accent6" w:themeShade="BF"/>
      </w:rPr>
    </w:pPr>
  </w:p>
  <w:p w14:paraId="5E0603EC">
    <w:pPr>
      <w:rPr>
        <w:color w:val="E46C0A" w:themeColor="accent6" w:themeShade="BF"/>
      </w:rPr>
    </w:pPr>
  </w:p>
  <w:p w14:paraId="27D14DFA">
    <w:pPr>
      <w:rPr>
        <w:color w:val="E46C0A" w:themeColor="accent6" w:themeShade="BF"/>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7797B">
    <w:pPr>
      <w:pStyle w:val="4"/>
      <w:bidi w:val="0"/>
      <w:rPr>
        <w:b w:val="0"/>
        <w:bCs/>
        <w:color w:val="FABF8F" w:themeColor="accent6" w:themeTint="99"/>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pPr>
    <w:r>
      <w:rPr>
        <w:rFonts w:hint="eastAsia"/>
        <w:b w:val="0"/>
        <w:bCs/>
        <w:color w:val="FABF8F" w:themeColor="accent6" w:themeTint="99"/>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上海通尉</w:t>
    </w:r>
  </w:p>
  <w:p w14:paraId="66AC484F">
    <w:pPr>
      <w:spacing w:line="240" w:lineRule="auto"/>
      <w:ind w:firstLine="8854" w:firstLineChars="4200"/>
      <w:rPr>
        <w:rFonts w:hint="eastAsia" w:ascii="汉仪雅酷黑简" w:hAnsi="汉仪雅酷黑简" w:eastAsia="汉仪雅酷黑简" w:cs="汉仪雅酷黑简"/>
        <w:color w:val="0070C0"/>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7FF79">
    <w:pPr>
      <w:pStyle w:val="7"/>
      <w:rPr>
        <w:color w:val="E46C0A" w:themeColor="accent6" w:themeShade="BF"/>
      </w:rPr>
    </w:pPr>
  </w:p>
  <w:p w14:paraId="6A10B499">
    <w:pPr>
      <w:rPr>
        <w:color w:val="E46C0A" w:themeColor="accent6" w:themeShade="BF"/>
      </w:rPr>
    </w:pPr>
  </w:p>
  <w:p w14:paraId="1DED4426">
    <w:pPr>
      <w:rPr>
        <w:color w:val="E46C0A" w:themeColor="accent6" w:themeShade="BF"/>
      </w:rPr>
    </w:pPr>
  </w:p>
  <w:p w14:paraId="325C353B">
    <w:pPr>
      <w:rPr>
        <w:color w:val="E46C0A" w:themeColor="accent6" w:themeShade="BF"/>
      </w:rPr>
    </w:pPr>
  </w:p>
  <w:p w14:paraId="1672E098">
    <w:pPr>
      <w:rPr>
        <w:color w:val="E46C0A" w:themeColor="accent6" w:themeShade="BF"/>
      </w:rPr>
    </w:pPr>
  </w:p>
  <w:p w14:paraId="501ED79F">
    <w:pPr>
      <w:rPr>
        <w:color w:val="E46C0A" w:themeColor="accent6" w:themeShade="BF"/>
      </w:rPr>
    </w:pPr>
  </w:p>
  <w:p w14:paraId="4A42D5A3">
    <w:pPr>
      <w:rPr>
        <w:color w:val="E46C0A" w:themeColor="accent6" w:themeShade="BF"/>
      </w:rPr>
    </w:pPr>
  </w:p>
  <w:p w14:paraId="010AB71E">
    <w:pPr>
      <w:rPr>
        <w:color w:val="E46C0A" w:themeColor="accent6" w:themeShade="BF"/>
      </w:rPr>
    </w:pPr>
  </w:p>
  <w:p w14:paraId="131FB8C4">
    <w:pPr>
      <w:rPr>
        <w:color w:val="E46C0A" w:themeColor="accent6" w:themeShade="B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007087"/>
    <w:multiLevelType w:val="multilevel"/>
    <w:tmpl w:val="1F007087"/>
    <w:lvl w:ilvl="0" w:tentative="0">
      <w:start w:val="1"/>
      <w:numFmt w:val="decimal"/>
      <w:lvlText w:val="%1."/>
      <w:lvlJc w:val="left"/>
      <w:pPr>
        <w:ind w:left="720" w:hanging="720"/>
      </w:pPr>
      <w:rPr>
        <w:rFonts w:ascii="微软雅黑" w:hAnsi="微软雅黑" w:eastAsia="微软雅黑" w:cs="Myriad Pro"/>
        <w:sz w:val="28"/>
        <w:szCs w:val="28"/>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7892521D"/>
    <w:multiLevelType w:val="multilevel"/>
    <w:tmpl w:val="7892521D"/>
    <w:lvl w:ilvl="0" w:tentative="0">
      <w:start w:val="1"/>
      <w:numFmt w:val="bullet"/>
      <w:lvlText w:val=""/>
      <w:lvlJc w:val="left"/>
      <w:pPr>
        <w:ind w:left="-320" w:hanging="420"/>
      </w:pPr>
      <w:rPr>
        <w:rFonts w:hint="default" w:ascii="Wingdings" w:hAnsi="Wingdings"/>
      </w:rPr>
    </w:lvl>
    <w:lvl w:ilvl="1" w:tentative="0">
      <w:start w:val="1"/>
      <w:numFmt w:val="bullet"/>
      <w:lvlText w:val=""/>
      <w:lvlJc w:val="left"/>
      <w:pPr>
        <w:ind w:left="100" w:hanging="420"/>
      </w:pPr>
      <w:rPr>
        <w:rFonts w:hint="default" w:ascii="Wingdings" w:hAnsi="Wingdings"/>
      </w:rPr>
    </w:lvl>
    <w:lvl w:ilvl="2" w:tentative="0">
      <w:start w:val="1"/>
      <w:numFmt w:val="bullet"/>
      <w:lvlText w:val=""/>
      <w:lvlJc w:val="left"/>
      <w:pPr>
        <w:ind w:left="520" w:hanging="420"/>
      </w:pPr>
      <w:rPr>
        <w:rFonts w:hint="default" w:ascii="Wingdings" w:hAnsi="Wingdings"/>
      </w:rPr>
    </w:lvl>
    <w:lvl w:ilvl="3" w:tentative="0">
      <w:start w:val="1"/>
      <w:numFmt w:val="bullet"/>
      <w:lvlText w:val=""/>
      <w:lvlJc w:val="left"/>
      <w:pPr>
        <w:ind w:left="940" w:hanging="420"/>
      </w:pPr>
      <w:rPr>
        <w:rFonts w:hint="default" w:ascii="Wingdings" w:hAnsi="Wingdings"/>
      </w:rPr>
    </w:lvl>
    <w:lvl w:ilvl="4" w:tentative="0">
      <w:start w:val="1"/>
      <w:numFmt w:val="bullet"/>
      <w:lvlText w:val=""/>
      <w:lvlJc w:val="left"/>
      <w:pPr>
        <w:ind w:left="1360" w:hanging="420"/>
      </w:pPr>
      <w:rPr>
        <w:rFonts w:hint="default" w:ascii="Wingdings" w:hAnsi="Wingdings"/>
      </w:rPr>
    </w:lvl>
    <w:lvl w:ilvl="5" w:tentative="0">
      <w:start w:val="1"/>
      <w:numFmt w:val="bullet"/>
      <w:lvlText w:val=""/>
      <w:lvlJc w:val="left"/>
      <w:pPr>
        <w:ind w:left="1780" w:hanging="420"/>
      </w:pPr>
      <w:rPr>
        <w:rFonts w:hint="default" w:ascii="Wingdings" w:hAnsi="Wingdings"/>
      </w:rPr>
    </w:lvl>
    <w:lvl w:ilvl="6" w:tentative="0">
      <w:start w:val="1"/>
      <w:numFmt w:val="bullet"/>
      <w:lvlText w:val=""/>
      <w:lvlJc w:val="left"/>
      <w:pPr>
        <w:ind w:left="2200" w:hanging="420"/>
      </w:pPr>
      <w:rPr>
        <w:rFonts w:hint="default" w:ascii="Wingdings" w:hAnsi="Wingdings"/>
      </w:rPr>
    </w:lvl>
    <w:lvl w:ilvl="7" w:tentative="0">
      <w:start w:val="1"/>
      <w:numFmt w:val="bullet"/>
      <w:lvlText w:val=""/>
      <w:lvlJc w:val="left"/>
      <w:pPr>
        <w:ind w:left="2620" w:hanging="420"/>
      </w:pPr>
      <w:rPr>
        <w:rFonts w:hint="default" w:ascii="Wingdings" w:hAnsi="Wingdings"/>
      </w:rPr>
    </w:lvl>
    <w:lvl w:ilvl="8" w:tentative="0">
      <w:start w:val="1"/>
      <w:numFmt w:val="bullet"/>
      <w:lvlText w:val=""/>
      <w:lvlJc w:val="left"/>
      <w:pPr>
        <w:ind w:left="304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NotTrackMoves/>
  <w:documentProtection w:enforcement="0"/>
  <w:defaultTabStop w:val="720"/>
  <w:drawingGridHorizontalSpacing w:val="120"/>
  <w:drawingGridVerticalSpacing w:val="120"/>
  <w:doNotUseMarginsForDrawingGridOrigin w:val="1"/>
  <w:drawingGridHorizontalOrigin w:val="1800"/>
  <w:drawingGridVerticalOrigin w:val="144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MGJmMGQyZWM0NjcwZmI3MzVmMmZmY2U1ZGFjOWQifQ=="/>
  </w:docVars>
  <w:rsids>
    <w:rsidRoot w:val="00B12AEF"/>
    <w:rsid w:val="00002983"/>
    <w:rsid w:val="00010BEE"/>
    <w:rsid w:val="00010EC3"/>
    <w:rsid w:val="00025A39"/>
    <w:rsid w:val="00040E68"/>
    <w:rsid w:val="0004426E"/>
    <w:rsid w:val="00053C68"/>
    <w:rsid w:val="000A0C8A"/>
    <w:rsid w:val="000B5599"/>
    <w:rsid w:val="000B69EC"/>
    <w:rsid w:val="000E07DC"/>
    <w:rsid w:val="000F4ECC"/>
    <w:rsid w:val="00113EB4"/>
    <w:rsid w:val="00114206"/>
    <w:rsid w:val="001471CF"/>
    <w:rsid w:val="00184646"/>
    <w:rsid w:val="00192DF3"/>
    <w:rsid w:val="001B0146"/>
    <w:rsid w:val="001C5681"/>
    <w:rsid w:val="001C6F49"/>
    <w:rsid w:val="001D7D7B"/>
    <w:rsid w:val="001F320F"/>
    <w:rsid w:val="002043AB"/>
    <w:rsid w:val="002179D0"/>
    <w:rsid w:val="00273226"/>
    <w:rsid w:val="00292C25"/>
    <w:rsid w:val="00296EA3"/>
    <w:rsid w:val="002A5BB1"/>
    <w:rsid w:val="002A7598"/>
    <w:rsid w:val="002C39D4"/>
    <w:rsid w:val="002D2A33"/>
    <w:rsid w:val="002F1566"/>
    <w:rsid w:val="00304439"/>
    <w:rsid w:val="00317CD2"/>
    <w:rsid w:val="00322C5C"/>
    <w:rsid w:val="00323EA2"/>
    <w:rsid w:val="0032409E"/>
    <w:rsid w:val="003302AF"/>
    <w:rsid w:val="00334541"/>
    <w:rsid w:val="00335EFD"/>
    <w:rsid w:val="0035186F"/>
    <w:rsid w:val="00360DD4"/>
    <w:rsid w:val="00367EE7"/>
    <w:rsid w:val="00377E3B"/>
    <w:rsid w:val="0038384D"/>
    <w:rsid w:val="003A13F3"/>
    <w:rsid w:val="003C7C9D"/>
    <w:rsid w:val="003F19E4"/>
    <w:rsid w:val="003F60D9"/>
    <w:rsid w:val="004033E3"/>
    <w:rsid w:val="004420F0"/>
    <w:rsid w:val="00454F6F"/>
    <w:rsid w:val="00456A1A"/>
    <w:rsid w:val="00457360"/>
    <w:rsid w:val="00473634"/>
    <w:rsid w:val="004A41D9"/>
    <w:rsid w:val="004B3A81"/>
    <w:rsid w:val="004F15EF"/>
    <w:rsid w:val="004F367A"/>
    <w:rsid w:val="004F7918"/>
    <w:rsid w:val="0053738B"/>
    <w:rsid w:val="00557D50"/>
    <w:rsid w:val="005729DE"/>
    <w:rsid w:val="005A249A"/>
    <w:rsid w:val="005A74A0"/>
    <w:rsid w:val="005C2369"/>
    <w:rsid w:val="005D5804"/>
    <w:rsid w:val="005D66CB"/>
    <w:rsid w:val="0060245E"/>
    <w:rsid w:val="00605494"/>
    <w:rsid w:val="006321ED"/>
    <w:rsid w:val="006368D1"/>
    <w:rsid w:val="00660D7B"/>
    <w:rsid w:val="006639C9"/>
    <w:rsid w:val="00670A62"/>
    <w:rsid w:val="0068180D"/>
    <w:rsid w:val="00683286"/>
    <w:rsid w:val="0069134F"/>
    <w:rsid w:val="0069304C"/>
    <w:rsid w:val="006A7974"/>
    <w:rsid w:val="006C762B"/>
    <w:rsid w:val="006D20C5"/>
    <w:rsid w:val="006F3360"/>
    <w:rsid w:val="00712935"/>
    <w:rsid w:val="00727370"/>
    <w:rsid w:val="00747246"/>
    <w:rsid w:val="00771589"/>
    <w:rsid w:val="007847DE"/>
    <w:rsid w:val="007875C8"/>
    <w:rsid w:val="00790E48"/>
    <w:rsid w:val="00792E29"/>
    <w:rsid w:val="007B3F16"/>
    <w:rsid w:val="007B7CB9"/>
    <w:rsid w:val="007C0DCF"/>
    <w:rsid w:val="007D4703"/>
    <w:rsid w:val="007D5ECC"/>
    <w:rsid w:val="008152AA"/>
    <w:rsid w:val="00824D4E"/>
    <w:rsid w:val="00837F28"/>
    <w:rsid w:val="0086066C"/>
    <w:rsid w:val="00864A16"/>
    <w:rsid w:val="0086786C"/>
    <w:rsid w:val="00880A0C"/>
    <w:rsid w:val="0088361C"/>
    <w:rsid w:val="008913D0"/>
    <w:rsid w:val="008C4D3D"/>
    <w:rsid w:val="008D1F18"/>
    <w:rsid w:val="008E077A"/>
    <w:rsid w:val="009033D7"/>
    <w:rsid w:val="00906D9A"/>
    <w:rsid w:val="00907FE5"/>
    <w:rsid w:val="00926D7C"/>
    <w:rsid w:val="009471E4"/>
    <w:rsid w:val="00962CCA"/>
    <w:rsid w:val="00962EB9"/>
    <w:rsid w:val="009703F0"/>
    <w:rsid w:val="00977555"/>
    <w:rsid w:val="00987304"/>
    <w:rsid w:val="00992EEE"/>
    <w:rsid w:val="009A63FF"/>
    <w:rsid w:val="009B318C"/>
    <w:rsid w:val="009C4735"/>
    <w:rsid w:val="009D6ACE"/>
    <w:rsid w:val="009E2BAB"/>
    <w:rsid w:val="009E396E"/>
    <w:rsid w:val="009E685A"/>
    <w:rsid w:val="00A3425A"/>
    <w:rsid w:val="00A35254"/>
    <w:rsid w:val="00A371B7"/>
    <w:rsid w:val="00A37598"/>
    <w:rsid w:val="00A43AA9"/>
    <w:rsid w:val="00A445E1"/>
    <w:rsid w:val="00A77ECC"/>
    <w:rsid w:val="00A86DD9"/>
    <w:rsid w:val="00AC41B8"/>
    <w:rsid w:val="00B12AEF"/>
    <w:rsid w:val="00B15B64"/>
    <w:rsid w:val="00B250EE"/>
    <w:rsid w:val="00B464A8"/>
    <w:rsid w:val="00B80A74"/>
    <w:rsid w:val="00B921EE"/>
    <w:rsid w:val="00B9371F"/>
    <w:rsid w:val="00B93E8A"/>
    <w:rsid w:val="00BA2D4B"/>
    <w:rsid w:val="00BA6955"/>
    <w:rsid w:val="00BD02AA"/>
    <w:rsid w:val="00BE454A"/>
    <w:rsid w:val="00BF1F5A"/>
    <w:rsid w:val="00C1271E"/>
    <w:rsid w:val="00C13830"/>
    <w:rsid w:val="00C202E7"/>
    <w:rsid w:val="00C22E97"/>
    <w:rsid w:val="00C43F04"/>
    <w:rsid w:val="00C4454A"/>
    <w:rsid w:val="00C46FEB"/>
    <w:rsid w:val="00C54FB2"/>
    <w:rsid w:val="00C55CBC"/>
    <w:rsid w:val="00C772B8"/>
    <w:rsid w:val="00CF6228"/>
    <w:rsid w:val="00D114DD"/>
    <w:rsid w:val="00D347FE"/>
    <w:rsid w:val="00D3483A"/>
    <w:rsid w:val="00D368EE"/>
    <w:rsid w:val="00D46F3E"/>
    <w:rsid w:val="00D8073F"/>
    <w:rsid w:val="00D81232"/>
    <w:rsid w:val="00DD3668"/>
    <w:rsid w:val="00DE67BC"/>
    <w:rsid w:val="00DE7D42"/>
    <w:rsid w:val="00E06CB9"/>
    <w:rsid w:val="00E20D54"/>
    <w:rsid w:val="00E43DC4"/>
    <w:rsid w:val="00E531FF"/>
    <w:rsid w:val="00E70BA9"/>
    <w:rsid w:val="00E762F2"/>
    <w:rsid w:val="00EA7C4B"/>
    <w:rsid w:val="00EB16C5"/>
    <w:rsid w:val="00EB566D"/>
    <w:rsid w:val="00EB5BBB"/>
    <w:rsid w:val="00EB69F5"/>
    <w:rsid w:val="00ED7E88"/>
    <w:rsid w:val="00EE4715"/>
    <w:rsid w:val="00EE668F"/>
    <w:rsid w:val="00F01F9C"/>
    <w:rsid w:val="00F146AE"/>
    <w:rsid w:val="00F40A19"/>
    <w:rsid w:val="00F42EFD"/>
    <w:rsid w:val="00F43A50"/>
    <w:rsid w:val="00F5368F"/>
    <w:rsid w:val="00F76EE4"/>
    <w:rsid w:val="00F8064C"/>
    <w:rsid w:val="00F94124"/>
    <w:rsid w:val="00F94EE2"/>
    <w:rsid w:val="00F96F62"/>
    <w:rsid w:val="00FA0E31"/>
    <w:rsid w:val="00FA6C31"/>
    <w:rsid w:val="00FB30B4"/>
    <w:rsid w:val="00FB501A"/>
    <w:rsid w:val="00FC1ADD"/>
    <w:rsid w:val="00FD7AB2"/>
    <w:rsid w:val="00FE0645"/>
    <w:rsid w:val="00FE3265"/>
    <w:rsid w:val="011B2D5D"/>
    <w:rsid w:val="01314F01"/>
    <w:rsid w:val="01A17E4A"/>
    <w:rsid w:val="01B81CE2"/>
    <w:rsid w:val="020F249B"/>
    <w:rsid w:val="03036723"/>
    <w:rsid w:val="03415C77"/>
    <w:rsid w:val="04341DD8"/>
    <w:rsid w:val="051404F4"/>
    <w:rsid w:val="05425CB5"/>
    <w:rsid w:val="06535E83"/>
    <w:rsid w:val="070A642C"/>
    <w:rsid w:val="088766C0"/>
    <w:rsid w:val="090B10A0"/>
    <w:rsid w:val="092D1499"/>
    <w:rsid w:val="0A9C3205"/>
    <w:rsid w:val="0BDE6804"/>
    <w:rsid w:val="0C511F9A"/>
    <w:rsid w:val="0C55300D"/>
    <w:rsid w:val="0D47686C"/>
    <w:rsid w:val="0E9D4189"/>
    <w:rsid w:val="10112F5C"/>
    <w:rsid w:val="1077526D"/>
    <w:rsid w:val="10B73A61"/>
    <w:rsid w:val="11097188"/>
    <w:rsid w:val="130B3477"/>
    <w:rsid w:val="144D2D5B"/>
    <w:rsid w:val="14861FBB"/>
    <w:rsid w:val="15A349BA"/>
    <w:rsid w:val="162007B4"/>
    <w:rsid w:val="16F9486B"/>
    <w:rsid w:val="1831173C"/>
    <w:rsid w:val="18855139"/>
    <w:rsid w:val="19051A9D"/>
    <w:rsid w:val="1906767F"/>
    <w:rsid w:val="1A46575B"/>
    <w:rsid w:val="1AED613D"/>
    <w:rsid w:val="1B446B4C"/>
    <w:rsid w:val="1BFB059E"/>
    <w:rsid w:val="1C151423"/>
    <w:rsid w:val="1E246E89"/>
    <w:rsid w:val="1F597EFB"/>
    <w:rsid w:val="1FCB5347"/>
    <w:rsid w:val="20464890"/>
    <w:rsid w:val="205F522A"/>
    <w:rsid w:val="21AF5E51"/>
    <w:rsid w:val="223E00D8"/>
    <w:rsid w:val="23032BD5"/>
    <w:rsid w:val="236B31E8"/>
    <w:rsid w:val="23DD6EAA"/>
    <w:rsid w:val="24101E19"/>
    <w:rsid w:val="250D5F0D"/>
    <w:rsid w:val="25565C32"/>
    <w:rsid w:val="25AA6571"/>
    <w:rsid w:val="25D24B4C"/>
    <w:rsid w:val="26007873"/>
    <w:rsid w:val="28165FA0"/>
    <w:rsid w:val="28733BB3"/>
    <w:rsid w:val="29BD522C"/>
    <w:rsid w:val="2B765660"/>
    <w:rsid w:val="2C085AF1"/>
    <w:rsid w:val="2C344011"/>
    <w:rsid w:val="2C3F7E23"/>
    <w:rsid w:val="2C784B05"/>
    <w:rsid w:val="2D6C20E9"/>
    <w:rsid w:val="2DD15683"/>
    <w:rsid w:val="2E770D04"/>
    <w:rsid w:val="2E7A2025"/>
    <w:rsid w:val="2F5B2761"/>
    <w:rsid w:val="2FB177CB"/>
    <w:rsid w:val="2FEE5530"/>
    <w:rsid w:val="303915EE"/>
    <w:rsid w:val="30FF6BD0"/>
    <w:rsid w:val="313F3759"/>
    <w:rsid w:val="326C5C9D"/>
    <w:rsid w:val="32C40E4A"/>
    <w:rsid w:val="3417404E"/>
    <w:rsid w:val="35243365"/>
    <w:rsid w:val="35301450"/>
    <w:rsid w:val="356C0D87"/>
    <w:rsid w:val="361B0693"/>
    <w:rsid w:val="3639011F"/>
    <w:rsid w:val="370400D2"/>
    <w:rsid w:val="375D4161"/>
    <w:rsid w:val="379A5652"/>
    <w:rsid w:val="39D5466D"/>
    <w:rsid w:val="3B863306"/>
    <w:rsid w:val="3B8F5FC8"/>
    <w:rsid w:val="3B954675"/>
    <w:rsid w:val="3EF82091"/>
    <w:rsid w:val="3F9A3018"/>
    <w:rsid w:val="4083548E"/>
    <w:rsid w:val="420133A7"/>
    <w:rsid w:val="420568BC"/>
    <w:rsid w:val="43263B3E"/>
    <w:rsid w:val="442C0A64"/>
    <w:rsid w:val="444D62DA"/>
    <w:rsid w:val="446753C6"/>
    <w:rsid w:val="45273DF0"/>
    <w:rsid w:val="455B0780"/>
    <w:rsid w:val="46772BA7"/>
    <w:rsid w:val="468C2C29"/>
    <w:rsid w:val="470E1FAA"/>
    <w:rsid w:val="476565ED"/>
    <w:rsid w:val="47AA1CA0"/>
    <w:rsid w:val="47F701BB"/>
    <w:rsid w:val="484C72AA"/>
    <w:rsid w:val="48636ED0"/>
    <w:rsid w:val="48804DC9"/>
    <w:rsid w:val="4A2645B2"/>
    <w:rsid w:val="4A506A7B"/>
    <w:rsid w:val="4A6A79D4"/>
    <w:rsid w:val="4A815F9A"/>
    <w:rsid w:val="4B4D1E16"/>
    <w:rsid w:val="4BE92720"/>
    <w:rsid w:val="4C613EDC"/>
    <w:rsid w:val="4DEC3F83"/>
    <w:rsid w:val="4E0F38E6"/>
    <w:rsid w:val="4E370707"/>
    <w:rsid w:val="4EF84E1A"/>
    <w:rsid w:val="4F9A2425"/>
    <w:rsid w:val="4FBD484E"/>
    <w:rsid w:val="4FE94B38"/>
    <w:rsid w:val="503B1185"/>
    <w:rsid w:val="511A319E"/>
    <w:rsid w:val="51DB4405"/>
    <w:rsid w:val="51FC7D96"/>
    <w:rsid w:val="53645CDE"/>
    <w:rsid w:val="54230EB5"/>
    <w:rsid w:val="54280325"/>
    <w:rsid w:val="54CA432C"/>
    <w:rsid w:val="55A84B6E"/>
    <w:rsid w:val="55BB3C4A"/>
    <w:rsid w:val="566662CB"/>
    <w:rsid w:val="567D02BE"/>
    <w:rsid w:val="58F86605"/>
    <w:rsid w:val="59052F61"/>
    <w:rsid w:val="5AB268F3"/>
    <w:rsid w:val="5AEC106C"/>
    <w:rsid w:val="5B770F95"/>
    <w:rsid w:val="5C2313D1"/>
    <w:rsid w:val="5D7706E8"/>
    <w:rsid w:val="5DF52EC5"/>
    <w:rsid w:val="5E023E3A"/>
    <w:rsid w:val="5E2743B7"/>
    <w:rsid w:val="5E9F4894"/>
    <w:rsid w:val="5F407CD3"/>
    <w:rsid w:val="5F7F7267"/>
    <w:rsid w:val="60F94DD1"/>
    <w:rsid w:val="612855F5"/>
    <w:rsid w:val="614C3FBB"/>
    <w:rsid w:val="61C77DC4"/>
    <w:rsid w:val="627214BB"/>
    <w:rsid w:val="63DC38E5"/>
    <w:rsid w:val="656D1C4C"/>
    <w:rsid w:val="66FF6992"/>
    <w:rsid w:val="672E4630"/>
    <w:rsid w:val="67762DCB"/>
    <w:rsid w:val="68E35521"/>
    <w:rsid w:val="69301E2A"/>
    <w:rsid w:val="699E3831"/>
    <w:rsid w:val="6B2A6A5F"/>
    <w:rsid w:val="6C354F35"/>
    <w:rsid w:val="6D527369"/>
    <w:rsid w:val="6D7B5F18"/>
    <w:rsid w:val="6DAF0018"/>
    <w:rsid w:val="6DE568D8"/>
    <w:rsid w:val="6DEE1968"/>
    <w:rsid w:val="6F4D0429"/>
    <w:rsid w:val="6F680F04"/>
    <w:rsid w:val="70581BE0"/>
    <w:rsid w:val="70E75C27"/>
    <w:rsid w:val="720E3C12"/>
    <w:rsid w:val="72415F00"/>
    <w:rsid w:val="731352DC"/>
    <w:rsid w:val="74075D16"/>
    <w:rsid w:val="7475039B"/>
    <w:rsid w:val="75155D26"/>
    <w:rsid w:val="758208D8"/>
    <w:rsid w:val="76470B6B"/>
    <w:rsid w:val="76B7138F"/>
    <w:rsid w:val="78A27DF6"/>
    <w:rsid w:val="78D6556D"/>
    <w:rsid w:val="79285776"/>
    <w:rsid w:val="798058E5"/>
    <w:rsid w:val="7AA177D6"/>
    <w:rsid w:val="7B762D8A"/>
    <w:rsid w:val="7CD9356D"/>
    <w:rsid w:val="7CE45F56"/>
    <w:rsid w:val="7D7D7B1D"/>
    <w:rsid w:val="7EEC2FA4"/>
    <w:rsid w:val="7F186E1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99" w:semiHidden="0" w:name="Normal Indent"/>
    <w:lsdException w:unhideWhenUsed="0" w:uiPriority="99" w:semiHidden="0" w:name="footnote text"/>
    <w:lsdException w:unhideWhenUsed="0" w:uiPriority="99" w:semiHidden="0" w:name="annotation text"/>
    <w:lsdException w:qFormat="1" w:uiPriority="99" w:semiHidden="0" w:name="header"/>
    <w:lsdException w:qFormat="1" w:uiPriority="99" w:semiHidden="0" w:name="footer"/>
    <w:lsdException w:unhideWhenUsed="0" w:uiPriority="99" w:semiHidden="0" w:name="index heading"/>
    <w:lsdException w:qFormat="1" w:uiPriority="35"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iPriority="99" w:name="table of authorities"/>
    <w:lsdException w:unhideWhenUsed="0" w:uiPriority="99" w:semiHidden="0" w:name="macro"/>
    <w:lsdException w:unhideWhenUsed="0" w:uiPriority="99" w:semiHidden="0" w:name="toa heading"/>
    <w:lsdException w:uiPriority="99" w:name="List"/>
    <w:lsdException w:uiPriority="99"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10" w:semiHidden="0" w:name="Title"/>
    <w:lsdException w:unhideWhenUsed="0" w:uiPriority="99" w:semiHidden="0" w:name="Closing"/>
    <w:lsdException w:unhideWhenUsed="0" w:uiPriority="99" w:semiHidden="0" w:name="Signature"/>
    <w:lsdException w:qFormat="1" w:uiPriority="1" w:name="Default Paragraph Font"/>
    <w:lsdException w:unhideWhenUsed="0" w:uiPriority="99" w:semiHidden="0" w:name="Body Text"/>
    <w:lsdException w:unhideWhenUsed="0" w:uiPriority="99" w:semiHidden="0" w:name="Body Text Indent"/>
    <w:lsdException w:unhideWhenUsed="0" w:uiPriority="99" w:semiHidden="0" w:name="List Continue"/>
    <w:lsdException w:uiPriority="99" w:name="List Continue 2"/>
    <w:lsdException w:uiPriority="99" w:name="List Continue 3"/>
    <w:lsdException w:uiPriority="99" w:name="List Continue 4"/>
    <w:lsdException w:uiPriority="99" w:name="List Continue 5"/>
    <w:lsdException w:unhideWhenUsed="0" w:uiPriority="99" w:semiHidden="0" w:name="Message Header"/>
    <w:lsdException w:qFormat="1" w:unhideWhenUsed="0" w:uiPriority="11"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iPriority="99"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Pr>
    <w:rPr>
      <w:rFonts w:ascii="华文琥珀" w:hAnsi="Calibri" w:eastAsia="华文琥珀" w:cs="Times New Roman"/>
      <w:b/>
      <w:bCs/>
      <w:color w:val="E46C0A" w:themeColor="accent6" w:themeShade="BF"/>
      <w:kern w:val="2"/>
      <w:sz w:val="24"/>
      <w:szCs w:val="24"/>
      <w:lang w:val="en-US" w:eastAsia="zh-CN" w:bidi="ar-SA"/>
    </w:rPr>
  </w:style>
  <w:style w:type="paragraph" w:styleId="2">
    <w:name w:val="heading 1"/>
    <w:basedOn w:val="1"/>
    <w:next w:val="1"/>
    <w:link w:val="15"/>
    <w:autoRedefine/>
    <w:qFormat/>
    <w:uiPriority w:val="9"/>
    <w:pPr>
      <w:keepNext/>
      <w:keepLines/>
      <w:spacing w:before="340" w:after="330" w:line="578" w:lineRule="auto"/>
      <w:outlineLvl w:val="0"/>
    </w:pPr>
    <w:rPr>
      <w:b w:val="0"/>
      <w:bCs w:val="0"/>
      <w:color w:val="E46C0A" w:themeColor="accent6" w:themeShade="BF"/>
      <w:kern w:val="44"/>
      <w:sz w:val="44"/>
      <w:szCs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val="0"/>
      <w:sz w:val="32"/>
    </w:rPr>
  </w:style>
  <w:style w:type="paragraph" w:styleId="4">
    <w:name w:val="heading 3"/>
    <w:basedOn w:val="1"/>
    <w:next w:val="1"/>
    <w:unhideWhenUsed/>
    <w:qFormat/>
    <w:uiPriority w:val="9"/>
    <w:pPr>
      <w:keepNext/>
      <w:keepLines/>
      <w:spacing w:before="260" w:beforeLines="0" w:beforeAutospacing="0" w:after="260" w:afterLines="0" w:afterAutospacing="0" w:line="413" w:lineRule="auto"/>
      <w:outlineLvl w:val="2"/>
    </w:pPr>
    <w:rPr>
      <w:b w:val="0"/>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40"/>
    <w:semiHidden/>
    <w:unhideWhenUsed/>
    <w:qFormat/>
    <w:uiPriority w:val="99"/>
    <w:rPr>
      <w:color w:val="E46C0A" w:themeColor="accent6" w:themeShade="BF"/>
      <w:sz w:val="18"/>
      <w:szCs w:val="18"/>
    </w:rPr>
  </w:style>
  <w:style w:type="paragraph" w:styleId="6">
    <w:name w:val="footer"/>
    <w:basedOn w:val="1"/>
    <w:link w:val="37"/>
    <w:autoRedefine/>
    <w:unhideWhenUsed/>
    <w:qFormat/>
    <w:uiPriority w:val="99"/>
    <w:pPr>
      <w:tabs>
        <w:tab w:val="center" w:pos="4153"/>
        <w:tab w:val="right" w:pos="8306"/>
      </w:tabs>
      <w:snapToGrid w:val="0"/>
    </w:pPr>
    <w:rPr>
      <w:color w:val="E46C0A" w:themeColor="accent6" w:themeShade="BF"/>
      <w:sz w:val="18"/>
      <w:szCs w:val="18"/>
    </w:rPr>
  </w:style>
  <w:style w:type="paragraph" w:styleId="7">
    <w:name w:val="header"/>
    <w:basedOn w:val="1"/>
    <w:link w:val="36"/>
    <w:autoRedefine/>
    <w:unhideWhenUsed/>
    <w:qFormat/>
    <w:uiPriority w:val="99"/>
    <w:pPr>
      <w:pBdr>
        <w:bottom w:val="single" w:color="auto" w:sz="6" w:space="1"/>
      </w:pBdr>
      <w:tabs>
        <w:tab w:val="center" w:pos="4153"/>
        <w:tab w:val="right" w:pos="8306"/>
      </w:tabs>
      <w:snapToGrid w:val="0"/>
      <w:jc w:val="center"/>
    </w:pPr>
    <w:rPr>
      <w:color w:val="E46C0A" w:themeColor="accent6" w:themeShade="BF"/>
      <w:sz w:val="18"/>
      <w:szCs w:val="18"/>
    </w:rPr>
  </w:style>
  <w:style w:type="paragraph" w:styleId="8">
    <w:name w:val="toc 1"/>
    <w:basedOn w:val="1"/>
    <w:next w:val="1"/>
    <w:autoRedefine/>
    <w:unhideWhenUsed/>
    <w:qFormat/>
    <w:uiPriority w:val="39"/>
    <w:pPr>
      <w:tabs>
        <w:tab w:val="right" w:leader="dot" w:pos="10733"/>
      </w:tabs>
      <w:spacing w:line="360" w:lineRule="auto"/>
    </w:pPr>
    <w:rPr>
      <w:color w:val="E46C0A" w:themeColor="accent6" w:themeShade="BF"/>
    </w:rPr>
  </w:style>
  <w:style w:type="paragraph" w:styleId="9">
    <w:name w:val="Normal (Web)"/>
    <w:basedOn w:val="1"/>
    <w:unhideWhenUsed/>
    <w:qFormat/>
    <w:uiPriority w:val="99"/>
    <w:pPr>
      <w:widowControl/>
      <w:spacing w:before="100" w:beforeAutospacing="1" w:after="100" w:afterAutospacing="1"/>
    </w:pPr>
    <w:rPr>
      <w:rFonts w:ascii="宋体" w:hAnsi="宋体" w:cs="宋体"/>
      <w:color w:val="E46C0A" w:themeColor="accent6" w:themeShade="BF"/>
      <w:kern w:val="0"/>
    </w:rPr>
  </w:style>
  <w:style w:type="paragraph" w:styleId="10">
    <w:name w:val="Title"/>
    <w:basedOn w:val="1"/>
    <w:next w:val="1"/>
    <w:link w:val="38"/>
    <w:autoRedefine/>
    <w:qFormat/>
    <w:uiPriority w:val="10"/>
    <w:pPr>
      <w:spacing w:before="240" w:after="60"/>
      <w:outlineLvl w:val="0"/>
    </w:pPr>
    <w:rPr>
      <w:rFonts w:ascii="微软雅黑" w:hAnsi="微软雅黑" w:eastAsia="微软雅黑"/>
      <w:color w:val="558ED5" w:themeColor="text2" w:themeTint="99"/>
      <w:sz w:val="32"/>
      <w:szCs w:val="32"/>
      <w14:textFill>
        <w14:solidFill>
          <w14:schemeClr w14:val="tx2">
            <w14:lumMod w14:val="60000"/>
            <w14:lumOff w14:val="40000"/>
          </w14:schemeClr>
        </w14:solidFill>
      </w14:textFill>
    </w:rPr>
  </w:style>
  <w:style w:type="table" w:styleId="12">
    <w:name w:val="Table Grid"/>
    <w:basedOn w:val="11"/>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autoRedefine/>
    <w:unhideWhenUsed/>
    <w:qFormat/>
    <w:uiPriority w:val="99"/>
    <w:rPr>
      <w:color w:val="0000FF"/>
      <w:u w:val="single"/>
    </w:rPr>
  </w:style>
  <w:style w:type="character" w:customStyle="1" w:styleId="15">
    <w:name w:val="标题 1 字符"/>
    <w:link w:val="2"/>
    <w:autoRedefine/>
    <w:qFormat/>
    <w:locked/>
    <w:uiPriority w:val="9"/>
    <w:rPr>
      <w:b/>
      <w:kern w:val="44"/>
      <w:sz w:val="44"/>
    </w:rPr>
  </w:style>
  <w:style w:type="paragraph" w:customStyle="1" w:styleId="16">
    <w:name w:val="TOC 标题1"/>
    <w:basedOn w:val="2"/>
    <w:next w:val="1"/>
    <w:autoRedefine/>
    <w:semiHidden/>
    <w:unhideWhenUsed/>
    <w:qFormat/>
    <w:uiPriority w:val="39"/>
    <w:pPr>
      <w:widowControl/>
      <w:spacing w:before="480" w:after="0" w:line="276" w:lineRule="auto"/>
      <w:outlineLvl w:val="9"/>
    </w:pPr>
    <w:rPr>
      <w:rFonts w:ascii="Cambria" w:hAnsi="Cambria"/>
      <w:color w:val="365F91"/>
      <w:kern w:val="0"/>
      <w:sz w:val="28"/>
      <w:szCs w:val="28"/>
    </w:rPr>
  </w:style>
  <w:style w:type="paragraph" w:customStyle="1" w:styleId="17">
    <w:name w:val="Default"/>
    <w:autoRedefine/>
    <w:qFormat/>
    <w:uiPriority w:val="0"/>
    <w:pPr>
      <w:widowControl w:val="0"/>
      <w:autoSpaceDE w:val="0"/>
      <w:autoSpaceDN w:val="0"/>
      <w:adjustRightInd w:val="0"/>
    </w:pPr>
    <w:rPr>
      <w:rFonts w:ascii="Myriad Pro Cond" w:hAnsi="Calibri" w:eastAsia="Myriad Pro Cond" w:cs="Myriad Pro Cond"/>
      <w:color w:val="000000"/>
      <w:sz w:val="24"/>
      <w:szCs w:val="24"/>
      <w:lang w:val="en-US" w:eastAsia="zh-CN" w:bidi="ar-SA"/>
    </w:rPr>
  </w:style>
  <w:style w:type="paragraph" w:customStyle="1" w:styleId="18">
    <w:name w:val="CM1"/>
    <w:basedOn w:val="17"/>
    <w:next w:val="17"/>
    <w:autoRedefine/>
    <w:qFormat/>
    <w:uiPriority w:val="99"/>
    <w:rPr>
      <w:rFonts w:cs="Times New Roman"/>
      <w:color w:val="auto"/>
    </w:rPr>
  </w:style>
  <w:style w:type="paragraph" w:customStyle="1" w:styleId="19">
    <w:name w:val="CM18"/>
    <w:basedOn w:val="17"/>
    <w:next w:val="17"/>
    <w:autoRedefine/>
    <w:qFormat/>
    <w:uiPriority w:val="99"/>
    <w:pPr>
      <w:spacing w:after="803"/>
    </w:pPr>
    <w:rPr>
      <w:rFonts w:cs="Times New Roman"/>
      <w:color w:val="auto"/>
    </w:rPr>
  </w:style>
  <w:style w:type="paragraph" w:customStyle="1" w:styleId="20">
    <w:name w:val="CM2"/>
    <w:basedOn w:val="17"/>
    <w:next w:val="17"/>
    <w:autoRedefine/>
    <w:qFormat/>
    <w:uiPriority w:val="99"/>
    <w:rPr>
      <w:rFonts w:cs="Times New Roman"/>
      <w:color w:val="auto"/>
    </w:rPr>
  </w:style>
  <w:style w:type="paragraph" w:customStyle="1" w:styleId="21">
    <w:name w:val="CM3"/>
    <w:basedOn w:val="17"/>
    <w:next w:val="17"/>
    <w:autoRedefine/>
    <w:qFormat/>
    <w:uiPriority w:val="99"/>
    <w:pPr>
      <w:spacing w:line="433" w:lineRule="atLeast"/>
    </w:pPr>
    <w:rPr>
      <w:rFonts w:cs="Times New Roman"/>
      <w:color w:val="auto"/>
    </w:rPr>
  </w:style>
  <w:style w:type="paragraph" w:customStyle="1" w:styleId="22">
    <w:name w:val="CM19"/>
    <w:basedOn w:val="17"/>
    <w:next w:val="17"/>
    <w:autoRedefine/>
    <w:qFormat/>
    <w:uiPriority w:val="99"/>
    <w:pPr>
      <w:spacing w:after="180"/>
      <w:ind w:firstLine="560" w:firstLineChars="200"/>
    </w:pPr>
    <w:rPr>
      <w:rFonts w:cs="Times New Roman"/>
      <w:color w:val="auto"/>
      <w:sz w:val="28"/>
      <w:szCs w:val="28"/>
    </w:rPr>
  </w:style>
  <w:style w:type="paragraph" w:customStyle="1" w:styleId="23">
    <w:name w:val="CM20"/>
    <w:basedOn w:val="17"/>
    <w:next w:val="17"/>
    <w:autoRedefine/>
    <w:qFormat/>
    <w:uiPriority w:val="99"/>
    <w:pPr>
      <w:spacing w:after="80"/>
    </w:pPr>
    <w:rPr>
      <w:rFonts w:cs="Times New Roman"/>
      <w:color w:val="auto"/>
    </w:rPr>
  </w:style>
  <w:style w:type="paragraph" w:customStyle="1" w:styleId="24">
    <w:name w:val="CM4"/>
    <w:basedOn w:val="17"/>
    <w:next w:val="17"/>
    <w:autoRedefine/>
    <w:qFormat/>
    <w:uiPriority w:val="99"/>
    <w:pPr>
      <w:spacing w:line="258" w:lineRule="atLeast"/>
    </w:pPr>
    <w:rPr>
      <w:rFonts w:cs="Times New Roman"/>
      <w:color w:val="auto"/>
    </w:rPr>
  </w:style>
  <w:style w:type="paragraph" w:customStyle="1" w:styleId="25">
    <w:name w:val="CM21"/>
    <w:basedOn w:val="17"/>
    <w:next w:val="17"/>
    <w:autoRedefine/>
    <w:qFormat/>
    <w:uiPriority w:val="99"/>
    <w:pPr>
      <w:spacing w:after="238"/>
    </w:pPr>
    <w:rPr>
      <w:rFonts w:cs="Times New Roman"/>
      <w:color w:val="auto"/>
    </w:rPr>
  </w:style>
  <w:style w:type="paragraph" w:customStyle="1" w:styleId="26">
    <w:name w:val="CM5"/>
    <w:basedOn w:val="17"/>
    <w:next w:val="17"/>
    <w:autoRedefine/>
    <w:qFormat/>
    <w:uiPriority w:val="99"/>
    <w:pPr>
      <w:spacing w:line="291" w:lineRule="atLeast"/>
    </w:pPr>
    <w:rPr>
      <w:rFonts w:cs="Times New Roman"/>
      <w:color w:val="auto"/>
    </w:rPr>
  </w:style>
  <w:style w:type="paragraph" w:customStyle="1" w:styleId="27">
    <w:name w:val="CM6"/>
    <w:basedOn w:val="17"/>
    <w:next w:val="17"/>
    <w:autoRedefine/>
    <w:qFormat/>
    <w:uiPriority w:val="99"/>
    <w:pPr>
      <w:spacing w:line="320" w:lineRule="atLeast"/>
    </w:pPr>
    <w:rPr>
      <w:rFonts w:cs="Times New Roman"/>
      <w:color w:val="auto"/>
    </w:rPr>
  </w:style>
  <w:style w:type="paragraph" w:customStyle="1" w:styleId="28">
    <w:name w:val="CM22"/>
    <w:basedOn w:val="17"/>
    <w:next w:val="17"/>
    <w:autoRedefine/>
    <w:qFormat/>
    <w:uiPriority w:val="99"/>
    <w:pPr>
      <w:spacing w:after="383" w:line="320" w:lineRule="atLeast"/>
      <w:ind w:right="93"/>
      <w:jc w:val="center"/>
    </w:pPr>
    <w:rPr>
      <w:rFonts w:ascii="微软雅黑" w:hAnsi="微软雅黑" w:eastAsia="微软雅黑" w:cs="Times New Roman"/>
      <w:bCs/>
      <w:color w:val="auto"/>
      <w:sz w:val="28"/>
      <w:szCs w:val="28"/>
    </w:rPr>
  </w:style>
  <w:style w:type="paragraph" w:customStyle="1" w:styleId="29">
    <w:name w:val="CM9"/>
    <w:basedOn w:val="17"/>
    <w:next w:val="17"/>
    <w:autoRedefine/>
    <w:qFormat/>
    <w:uiPriority w:val="99"/>
    <w:pPr>
      <w:spacing w:line="323" w:lineRule="atLeast"/>
    </w:pPr>
    <w:rPr>
      <w:rFonts w:cs="Times New Roman"/>
      <w:color w:val="auto"/>
    </w:rPr>
  </w:style>
  <w:style w:type="paragraph" w:customStyle="1" w:styleId="30">
    <w:name w:val="CM10"/>
    <w:basedOn w:val="17"/>
    <w:next w:val="17"/>
    <w:autoRedefine/>
    <w:qFormat/>
    <w:uiPriority w:val="99"/>
    <w:pPr>
      <w:spacing w:line="320" w:lineRule="atLeast"/>
    </w:pPr>
    <w:rPr>
      <w:rFonts w:cs="Times New Roman"/>
      <w:color w:val="auto"/>
    </w:rPr>
  </w:style>
  <w:style w:type="paragraph" w:customStyle="1" w:styleId="31">
    <w:name w:val="CM11"/>
    <w:basedOn w:val="17"/>
    <w:next w:val="17"/>
    <w:autoRedefine/>
    <w:qFormat/>
    <w:uiPriority w:val="99"/>
    <w:pPr>
      <w:spacing w:line="320" w:lineRule="atLeast"/>
    </w:pPr>
    <w:rPr>
      <w:rFonts w:cs="Times New Roman"/>
      <w:color w:val="auto"/>
    </w:rPr>
  </w:style>
  <w:style w:type="paragraph" w:customStyle="1" w:styleId="32">
    <w:name w:val="CM12"/>
    <w:basedOn w:val="17"/>
    <w:next w:val="17"/>
    <w:autoRedefine/>
    <w:qFormat/>
    <w:uiPriority w:val="99"/>
    <w:pPr>
      <w:spacing w:line="320" w:lineRule="atLeast"/>
    </w:pPr>
    <w:rPr>
      <w:rFonts w:cs="Times New Roman"/>
      <w:color w:val="auto"/>
    </w:rPr>
  </w:style>
  <w:style w:type="paragraph" w:customStyle="1" w:styleId="33">
    <w:name w:val="CM14"/>
    <w:basedOn w:val="17"/>
    <w:next w:val="17"/>
    <w:autoRedefine/>
    <w:qFormat/>
    <w:uiPriority w:val="99"/>
    <w:rPr>
      <w:rFonts w:cs="Times New Roman"/>
      <w:color w:val="auto"/>
    </w:rPr>
  </w:style>
  <w:style w:type="paragraph" w:customStyle="1" w:styleId="34">
    <w:name w:val="CM15"/>
    <w:basedOn w:val="17"/>
    <w:next w:val="17"/>
    <w:autoRedefine/>
    <w:qFormat/>
    <w:uiPriority w:val="99"/>
    <w:rPr>
      <w:rFonts w:cs="Times New Roman"/>
      <w:color w:val="auto"/>
    </w:rPr>
  </w:style>
  <w:style w:type="paragraph" w:customStyle="1" w:styleId="35">
    <w:name w:val="CM16"/>
    <w:basedOn w:val="17"/>
    <w:next w:val="17"/>
    <w:autoRedefine/>
    <w:qFormat/>
    <w:uiPriority w:val="99"/>
    <w:pPr>
      <w:spacing w:line="223" w:lineRule="atLeast"/>
    </w:pPr>
    <w:rPr>
      <w:rFonts w:cs="Times New Roman"/>
      <w:color w:val="auto"/>
    </w:rPr>
  </w:style>
  <w:style w:type="character" w:customStyle="1" w:styleId="36">
    <w:name w:val="页眉 字符"/>
    <w:link w:val="7"/>
    <w:autoRedefine/>
    <w:qFormat/>
    <w:locked/>
    <w:uiPriority w:val="99"/>
    <w:rPr>
      <w:sz w:val="18"/>
    </w:rPr>
  </w:style>
  <w:style w:type="character" w:customStyle="1" w:styleId="37">
    <w:name w:val="页脚 字符"/>
    <w:link w:val="6"/>
    <w:autoRedefine/>
    <w:qFormat/>
    <w:locked/>
    <w:uiPriority w:val="99"/>
    <w:rPr>
      <w:sz w:val="18"/>
    </w:rPr>
  </w:style>
  <w:style w:type="character" w:customStyle="1" w:styleId="38">
    <w:name w:val="标题 字符"/>
    <w:link w:val="10"/>
    <w:autoRedefine/>
    <w:qFormat/>
    <w:locked/>
    <w:uiPriority w:val="10"/>
    <w:rPr>
      <w:rFonts w:ascii="微软雅黑" w:hAnsi="微软雅黑" w:eastAsia="微软雅黑"/>
      <w:b/>
      <w:bCs/>
      <w:color w:val="558ED5" w:themeColor="text2" w:themeTint="99"/>
      <w:kern w:val="2"/>
      <w:sz w:val="32"/>
      <w:szCs w:val="32"/>
      <w14:textFill>
        <w14:solidFill>
          <w14:schemeClr w14:val="tx2">
            <w14:lumMod w14:val="60000"/>
            <w14:lumOff w14:val="40000"/>
          </w14:schemeClr>
        </w14:solidFill>
      </w14:textFill>
    </w:rPr>
  </w:style>
  <w:style w:type="character" w:customStyle="1" w:styleId="39">
    <w:name w:val="未处理的提及1"/>
    <w:autoRedefine/>
    <w:semiHidden/>
    <w:unhideWhenUsed/>
    <w:qFormat/>
    <w:uiPriority w:val="99"/>
    <w:rPr>
      <w:color w:val="605E5C"/>
      <w:shd w:val="clear" w:color="auto" w:fill="E1DFDD"/>
    </w:rPr>
  </w:style>
  <w:style w:type="character" w:customStyle="1" w:styleId="40">
    <w:name w:val="批注框文本 字符"/>
    <w:basedOn w:val="13"/>
    <w:link w:val="5"/>
    <w:semiHidden/>
    <w:qFormat/>
    <w:uiPriority w:val="99"/>
    <w:rPr>
      <w:rFonts w:ascii="Calibri" w:hAnsi="Calibri"/>
      <w:kern w:val="2"/>
      <w:sz w:val="18"/>
      <w:szCs w:val="18"/>
    </w:rPr>
  </w:style>
  <w:style w:type="paragraph" w:styleId="41">
    <w:name w:val="List Paragraph"/>
    <w:basedOn w:val="1"/>
    <w:qFormat/>
    <w:uiPriority w:val="99"/>
    <w:pPr>
      <w:ind w:firstLine="420" w:firstLineChars="200"/>
    </w:pPr>
    <w:rPr>
      <w:color w:val="E46C0A" w:themeColor="accent6" w:themeShade="BF"/>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12</Pages>
  <Words>3838</Words>
  <Characters>4544</Characters>
  <Lines>35</Lines>
  <Paragraphs>9</Paragraphs>
  <TotalTime>0</TotalTime>
  <ScaleCrop>false</ScaleCrop>
  <LinksUpToDate>false</LinksUpToDate>
  <CharactersWithSpaces>4651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2024-08-21T01:46:00Z</dcterms:created>
  <dc:creator>崇靖 刘</dc:creator>
  <cp:lastModifiedBy>小爽</cp:lastModifiedBy>
  <dcterms:modified xsi:type="dcterms:W3CDTF">2026-01-08T06:49:10Z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0796149D3EE64AB2AC3C4AE96C68CD26_13</vt:lpwstr>
  </property>
  <property fmtid="{D5CDD505-2E9C-101B-9397-08002B2CF9AE}" pid="4" name="KSOTemplateDocerSaveRecord">
    <vt:lpwstr>eyJoZGlkIjoiMWQxNzk1NjA2ZTU2YWE0ZTllOWYwMGZjNTk5ZTY4NjIiLCJ1c2VySWQiOiIzNDczODAxODcifQ==</vt:lpwstr>
  </property>
</Properties>
</file>